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C8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t>[</w:t>
      </w:r>
      <w:r w:rsidRPr="00FA3A66">
        <w:rPr>
          <w:rFonts w:ascii="Times" w:hAnsi="Times"/>
          <w:b/>
          <w:bCs/>
          <w:sz w:val="22"/>
          <w:szCs w:val="22"/>
        </w:rPr>
        <w:t>ANN</w:t>
      </w:r>
      <w:r w:rsidRPr="00FA3A66">
        <w:rPr>
          <w:rFonts w:ascii="Times" w:hAnsi="Times"/>
          <w:b/>
          <w:bCs/>
          <w:caps/>
          <w:sz w:val="22"/>
          <w:szCs w:val="22"/>
        </w:rPr>
        <w:t>é</w:t>
      </w:r>
      <w:r w:rsidRPr="00FA3A66">
        <w:rPr>
          <w:rFonts w:ascii="Times" w:hAnsi="Times"/>
          <w:b/>
          <w:bCs/>
          <w:sz w:val="22"/>
          <w:szCs w:val="22"/>
        </w:rPr>
        <w:t>E</w:t>
      </w:r>
      <w:r w:rsidRPr="00245D92">
        <w:rPr>
          <w:rFonts w:ascii="Times" w:hAnsi="Times"/>
          <w:b/>
          <w:bCs/>
          <w:sz w:val="22"/>
          <w:szCs w:val="22"/>
        </w:rPr>
        <w:t>]</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éditeur ou diffuseur</w:t>
      </w:r>
      <w:r w:rsidRPr="00245D92">
        <w:rPr>
          <w:rFonts w:ascii="Times" w:hAnsi="Times"/>
          <w:b/>
          <w:bCs/>
          <w:sz w:val="22"/>
          <w:szCs w:val="22"/>
        </w:rPr>
        <w:t>]</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1E527A0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A24BAC" w:rsidRPr="006A05CE">
        <w:rPr>
          <w:rFonts w:ascii="Times" w:hAnsi="Times"/>
          <w:b/>
          <w:bCs/>
          <w:sz w:val="22"/>
          <w:szCs w:val="22"/>
        </w:rPr>
        <w:t>[</w:t>
      </w:r>
      <w:r w:rsidR="00E80B63">
        <w:rPr>
          <w:rFonts w:ascii="Times" w:hAnsi="Times"/>
          <w:b/>
          <w:bCs/>
          <w:sz w:val="22"/>
          <w:szCs w:val="22"/>
        </w:rPr>
        <w:t xml:space="preserve">NOM DU </w:t>
      </w:r>
      <w:r w:rsidR="00A24BAC" w:rsidRPr="006A05CE">
        <w:rPr>
          <w:rFonts w:ascii="Times" w:hAnsi="Times"/>
          <w:b/>
          <w:bCs/>
          <w:sz w:val="22"/>
          <w:szCs w:val="22"/>
        </w:rPr>
        <w:t>PRODUIT</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2618286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b/>
          <w:bCs/>
          <w:snapToGrid w:val="0"/>
          <w:color w:val="000000"/>
          <w:sz w:val="22"/>
          <w:szCs w:val="22"/>
        </w:rPr>
        <w:t>NOM LEGAL COMPLET DE L’</w:t>
      </w:r>
      <w:r w:rsidRPr="00C95717">
        <w:rPr>
          <w:rFonts w:ascii="Times" w:hAnsi="Times"/>
          <w:b/>
          <w:bCs/>
          <w:caps/>
          <w:sz w:val="22"/>
          <w:szCs w:val="22"/>
        </w:rPr>
        <w:t>éDITEUR ou du diffuseur</w:t>
      </w:r>
      <w:r w:rsidRPr="00245D92">
        <w:rPr>
          <w:rFonts w:ascii="Times" w:hAnsi="Times"/>
          <w:snapToGrid w:val="0"/>
          <w:color w:val="000000"/>
          <w:sz w:val="22"/>
          <w:szCs w:val="22"/>
        </w:rPr>
        <w:t>]</w:t>
      </w:r>
    </w:p>
    <w:p w14:paraId="07D35DE7"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ADRESSE COMPLETE DE L’</w:t>
      </w:r>
      <w:r w:rsidRPr="00C95717">
        <w:rPr>
          <w:rFonts w:ascii="Times" w:hAnsi="Times"/>
          <w:caps/>
          <w:sz w:val="22"/>
          <w:szCs w:val="22"/>
        </w:rPr>
        <w:t>éditeur ou du diffuseur</w:t>
      </w:r>
      <w:r w:rsidRPr="00245D92">
        <w:rPr>
          <w:rFonts w:ascii="Times" w:hAnsi="Times"/>
          <w:snapToGrid w:val="0"/>
          <w:color w:val="000000"/>
          <w:sz w:val="22"/>
          <w:szCs w:val="22"/>
        </w:rPr>
        <w: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NOM DU REPRÉSENTANT</w:t>
      </w:r>
      <w:r w:rsidRPr="00245D92">
        <w:rPr>
          <w:rFonts w:ascii="Times" w:hAnsi="Times"/>
          <w:snapToGrid w:val="0"/>
          <w:color w:val="000000"/>
          <w:sz w:val="22"/>
          <w:szCs w:val="22"/>
        </w:rPr>
        <w:t>]</w:t>
      </w:r>
    </w:p>
    <w:p w14:paraId="682DCB2F"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TITRE DU REPRÉSENTANT</w:t>
      </w:r>
      <w:r w:rsidRPr="00245D92">
        <w:rPr>
          <w:rFonts w:ascii="Times" w:hAnsi="Times"/>
          <w:snapToGrid w:val="0"/>
          <w:color w:val="000000"/>
          <w:sz w:val="22"/>
          <w:szCs w:val="22"/>
        </w:rPr>
        <w: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1D0D19EF"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 [</w:t>
      </w:r>
      <w:r w:rsidRPr="00C25C22">
        <w:rPr>
          <w:rFonts w:ascii="Times" w:hAnsi="Times"/>
          <w:i/>
          <w:snapToGrid w:val="0"/>
          <w:color w:val="000000"/>
          <w:sz w:val="22"/>
          <w:szCs w:val="22"/>
        </w:rPr>
        <w:t xml:space="preserve">BREF DESCRIPTIF DES </w:t>
      </w:r>
      <w:r w:rsidRPr="00C25C22">
        <w:rPr>
          <w:rFonts w:ascii="Times" w:hAnsi="Times"/>
          <w:i/>
          <w:caps/>
          <w:snapToGrid w:val="0"/>
          <w:color w:val="000000"/>
          <w:sz w:val="22"/>
          <w:szCs w:val="22"/>
        </w:rPr>
        <w:t>éléments</w:t>
      </w:r>
      <w:r w:rsidRPr="00C25C22">
        <w:rPr>
          <w:rFonts w:ascii="Times" w:hAnsi="Times"/>
          <w:i/>
          <w:snapToGrid w:val="0"/>
          <w:color w:val="000000"/>
          <w:sz w:val="22"/>
          <w:szCs w:val="22"/>
        </w:rPr>
        <w:t xml:space="preserve"> FAISANT L’OBJET DU </w:t>
      </w:r>
      <w:r w:rsidR="00575F93">
        <w:rPr>
          <w:rFonts w:ascii="Times" w:hAnsi="Times"/>
          <w:i/>
          <w:snapToGrid w:val="0"/>
          <w:color w:val="000000"/>
          <w:sz w:val="22"/>
          <w:szCs w:val="22"/>
        </w:rPr>
        <w:t>CONTRAT</w:t>
      </w:r>
      <w:r w:rsidRPr="00C25C22">
        <w:rPr>
          <w:rFonts w:ascii="Times" w:hAnsi="Times"/>
          <w:i/>
          <w:snapToGrid w:val="0"/>
          <w:color w:val="000000"/>
          <w:sz w:val="22"/>
          <w:szCs w:val="22"/>
        </w:rPr>
        <w:t> ; exemple : des revues électroniques avec suppléments multimédia, des ouvrages de référence électroniques, des livres électroniques, des livres comprenant des éléments électroniques</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appelés « Contenu publié par [</w:t>
      </w:r>
      <w:r w:rsidRPr="00C95717">
        <w:rPr>
          <w:rFonts w:ascii="Times" w:hAnsi="Times"/>
          <w:snapToGrid w:val="0"/>
          <w:color w:val="000000"/>
          <w:sz w:val="22"/>
          <w:szCs w:val="22"/>
        </w:rPr>
        <w:t>NOM DE L’ L’</w:t>
      </w:r>
      <w:r w:rsidRPr="00C95717">
        <w:rPr>
          <w:rFonts w:ascii="Times" w:hAnsi="Times"/>
          <w:caps/>
          <w:sz w:val="22"/>
          <w:szCs w:val="22"/>
        </w:rPr>
        <w:t>éditeur ou du diffuseur</w:t>
      </w:r>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 [</w:t>
      </w:r>
      <w:r w:rsidRPr="00C25C22">
        <w:rPr>
          <w:rFonts w:ascii="Times" w:hAnsi="Times"/>
          <w:i/>
          <w:snapToGrid w:val="0"/>
          <w:color w:val="000000"/>
          <w:sz w:val="22"/>
          <w:szCs w:val="22"/>
        </w:rPr>
        <w:t>BREF DESCRIPTIF DU SYSTÈME OU DE LA PLATE-FORME</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nommé(e) « [</w:t>
      </w:r>
      <w:r w:rsidRPr="00C25C22">
        <w:rPr>
          <w:rFonts w:ascii="Times" w:hAnsi="Times"/>
          <w:snapToGrid w:val="0"/>
          <w:color w:val="000000"/>
          <w:sz w:val="22"/>
          <w:szCs w:val="22"/>
        </w:rPr>
        <w:t>NOM DU SYSTÈME</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7AD2499B"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40581DD4" w14:textId="1CBA0DF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lastRenderedPageBreak/>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4D6133A"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w:t>
      </w:r>
      <w:r w:rsidRPr="0006107A">
        <w:rPr>
          <w:rFonts w:ascii="Times" w:hAnsi="Times"/>
          <w:color w:val="auto"/>
          <w:szCs w:val="22"/>
        </w:rPr>
        <w:lastRenderedPageBreak/>
        <w:t xml:space="preserve">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Default="00305334" w:rsidP="00A24BAC">
      <w:pPr>
        <w:pStyle w:val="Corpsdetexte2"/>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Pr>
          <w:rFonts w:ascii="Times" w:hAnsi="Times"/>
          <w:color w:val="auto"/>
          <w:szCs w:val="22"/>
        </w:rPr>
        <w:t xml:space="preserve"> </w:t>
      </w:r>
      <w:r w:rsidR="0035672A">
        <w:rPr>
          <w:rFonts w:ascii="Times" w:hAnsi="Times"/>
          <w:color w:val="0070C0"/>
          <w:szCs w:val="22"/>
        </w:rPr>
        <w:t xml:space="preserve">et </w:t>
      </w:r>
      <w:r w:rsidR="0035672A" w:rsidRPr="0035672A">
        <w:rPr>
          <w:rFonts w:ascii="Times" w:hAnsi="Times"/>
          <w:color w:val="0070C0"/>
          <w:szCs w:val="22"/>
        </w:rPr>
        <w:t>Le Règlement Général sur la Protection des Données (RGPD)</w:t>
      </w:r>
      <w:r w:rsidR="0035672A" w:rsidRPr="0035672A">
        <w:t xml:space="preserve"> </w:t>
      </w:r>
    </w:p>
    <w:p w14:paraId="6ED38A8A" w14:textId="36806425" w:rsidR="0035672A" w:rsidRPr="0052104C" w:rsidRDefault="0035672A" w:rsidP="0035672A">
      <w:pPr>
        <w:jc w:val="both"/>
        <w:rPr>
          <w:color w:val="0070C0"/>
        </w:rPr>
      </w:pPr>
      <w:r w:rsidRPr="0035672A">
        <w:rPr>
          <w:color w:val="0070C0"/>
        </w:rPr>
        <w:t xml:space="preserve">Nous rappelons notamment que Règlement (UE) 2016/679 du Parlement européen et du Conseil du 27 avril 2016, </w:t>
      </w:r>
      <w:r>
        <w:rPr>
          <w:color w:val="0070C0"/>
        </w:rPr>
        <w:t xml:space="preserve"> prévoient dans son</w:t>
      </w:r>
      <w:r w:rsidR="0052104C">
        <w:rPr>
          <w:color w:val="0070C0"/>
        </w:rPr>
        <w:t xml:space="preserve"> </w:t>
      </w:r>
      <w:r w:rsidRPr="0035672A">
        <w:rPr>
          <w:color w:val="0070C0"/>
        </w:rPr>
        <w:t xml:space="preserve">art 5 « Les données à caractère personnel doivent être collectées pour des </w:t>
      </w:r>
      <w:r w:rsidRPr="0035672A">
        <w:rPr>
          <w:b/>
          <w:color w:val="0070C0"/>
        </w:rPr>
        <w:t>finalités déterminées, explicites et légitimes</w:t>
      </w:r>
      <w:r w:rsidRPr="0035672A">
        <w:rPr>
          <w:color w:val="0070C0"/>
        </w:rPr>
        <w:t>, et ne pas être traitées ultérieurement d'une manière incompatible avec ces finalités; »</w:t>
      </w:r>
      <w:r w:rsidR="006E779F">
        <w:rPr>
          <w:color w:val="0070C0"/>
        </w:rPr>
        <w:t xml:space="preserve"> </w:t>
      </w:r>
      <w:r>
        <w:rPr>
          <w:color w:val="000000"/>
        </w:rPr>
        <w:t>et (art 46) qu’«</w:t>
      </w:r>
      <w:r>
        <w:rPr>
          <w:color w:val="808080"/>
        </w:rPr>
        <w:t xml:space="preserve"> En l'absence de décision en vertu de l'article 45, paragraphe 3, </w:t>
      </w:r>
      <w:r>
        <w:rPr>
          <w:b/>
          <w:color w:val="808080"/>
        </w:rPr>
        <w:t>le responsable du traitement ou le sous-traitant ne peut transférer des données à caractère personnel vers un pays tiers ou à une organisation internationale que s'il a prévu des garanties appropriée</w:t>
      </w:r>
      <w:r>
        <w:rPr>
          <w:color w:val="808080"/>
        </w:rPr>
        <w:t>s et à la condition que les personnes concernées disposent de droits opposables et de voies de droit effectives. </w:t>
      </w:r>
      <w:r>
        <w:rPr>
          <w:color w:val="000000"/>
        </w:rPr>
        <w:t>»</w:t>
      </w:r>
    </w:p>
    <w:p w14:paraId="1E70F77F" w14:textId="77777777" w:rsidR="0035672A" w:rsidRPr="0035672A" w:rsidRDefault="0035672A" w:rsidP="0035672A">
      <w:pPr>
        <w:rPr>
          <w:color w:val="0070C0"/>
        </w:rPr>
      </w:pPr>
    </w:p>
    <w:p w14:paraId="568C4509" w14:textId="64273109" w:rsidR="0035672A" w:rsidRDefault="00346CCA" w:rsidP="00346CCA">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2A74FDB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4.2 [</w:t>
      </w:r>
      <w:r w:rsidR="0006107A"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06107A" w:rsidRDefault="00A24BAC">
      <w:pPr>
        <w:jc w:val="both"/>
        <w:rPr>
          <w:rFonts w:ascii="Times" w:hAnsi="Times"/>
          <w:snapToGrid w:val="0"/>
          <w:color w:val="000000"/>
          <w:sz w:val="22"/>
          <w:szCs w:val="22"/>
        </w:rPr>
      </w:pPr>
    </w:p>
    <w:p w14:paraId="081638C9" w14:textId="7783EC36"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4.3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sidR="00575F93">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(c</w:t>
      </w:r>
      <w:r w:rsidR="000E13A9">
        <w:rPr>
          <w:rFonts w:ascii="Times" w:hAnsi="Times"/>
          <w:snapToGrid w:val="0"/>
          <w:color w:val="000000"/>
          <w:sz w:val="22"/>
          <w:szCs w:val="22"/>
        </w:rPr>
        <w:t>’est</w:t>
      </w:r>
      <w:r w:rsidRPr="0006107A">
        <w:rPr>
          <w:rFonts w:ascii="Times" w:hAnsi="Times"/>
          <w:snapToGrid w:val="0"/>
          <w:color w:val="000000"/>
          <w:sz w:val="22"/>
          <w:szCs w:val="22"/>
        </w:rPr>
        <w:t>-à-d</w:t>
      </w:r>
      <w:r w:rsidR="000E13A9">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4913F7AE"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 xml:space="preserve">4.4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F772E4">
        <w:rPr>
          <w:rFonts w:ascii="Times" w:hAnsi="Times"/>
          <w:snapToGrid w:val="0"/>
          <w:sz w:val="22"/>
          <w:szCs w:val="22"/>
        </w:rPr>
        <w:t>X</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années de plus sans frais supplémentaires. Le Concédant fournira une copie numérique d’archive sur un support de stockage numérique dont il sera convenu de gré à gr</w:t>
      </w:r>
      <w:r w:rsidR="000B206B">
        <w:rPr>
          <w:rFonts w:ascii="Times" w:hAnsi="Times"/>
          <w:snapToGrid w:val="0"/>
          <w:sz w:val="22"/>
          <w:szCs w:val="22"/>
        </w:rPr>
        <w:t xml:space="preserve">é.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0805681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4.5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39B7A50A" w:rsidR="00A24BAC" w:rsidRPr="0006107A" w:rsidRDefault="00A24BAC">
      <w:pPr>
        <w:jc w:val="both"/>
        <w:rPr>
          <w:rFonts w:ascii="Times" w:hAnsi="Times"/>
          <w:sz w:val="22"/>
          <w:szCs w:val="22"/>
        </w:rPr>
      </w:pPr>
      <w:r w:rsidRPr="0006107A">
        <w:rPr>
          <w:rFonts w:ascii="Times" w:hAnsi="Times"/>
          <w:sz w:val="22"/>
          <w:szCs w:val="22"/>
        </w:rPr>
        <w:t xml:space="preserve">4.6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1325F844"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w:t>
      </w:r>
      <w:r w:rsidRPr="0006107A">
        <w:rPr>
          <w:rFonts w:ascii="Times" w:hAnsi="Times"/>
          <w:snapToGrid w:val="0"/>
          <w:sz w:val="22"/>
          <w:szCs w:val="22"/>
        </w:rPr>
        <w:lastRenderedPageBreak/>
        <w:t xml:space="preserve">prolongera la période de validité du présent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de licence d’une durée identique à celle de l’interruption sans frais supplémentaires pour </w:t>
      </w:r>
      <w:r w:rsidRPr="0006107A">
        <w:rPr>
          <w:rFonts w:ascii="Times" w:hAnsi="Times"/>
          <w:snapToGrid w:val="0"/>
          <w:color w:val="000000"/>
          <w:sz w:val="22"/>
          <w:szCs w:val="22"/>
        </w:rPr>
        <w:t>[</w:t>
      </w:r>
      <w:r w:rsidRPr="00217F6D">
        <w:rPr>
          <w:rFonts w:ascii="Times" w:hAnsi="Times"/>
          <w:snapToGrid w:val="0"/>
          <w:color w:val="000000"/>
          <w:sz w:val="22"/>
          <w:szCs w:val="22"/>
        </w:rPr>
        <w:t>l’Abonné</w:t>
      </w:r>
      <w:r w:rsidRPr="0006107A">
        <w:rPr>
          <w:rFonts w:ascii="Times" w:hAnsi="Times"/>
          <w:snapToGrid w:val="0"/>
          <w:color w:val="000000"/>
          <w:sz w:val="22"/>
          <w:szCs w:val="22"/>
        </w:rPr>
        <w:t>]</w:t>
      </w:r>
      <w:r w:rsidRPr="0006107A">
        <w:rPr>
          <w:rFonts w:ascii="Times" w:hAnsi="Times"/>
          <w:snapToGrid w:val="0"/>
          <w:sz w:val="22"/>
          <w:szCs w:val="22"/>
        </w:rPr>
        <w:t>.</w:t>
      </w:r>
    </w:p>
    <w:p w14:paraId="0E149CBF" w14:textId="77777777" w:rsidR="00A24BAC" w:rsidRPr="0006107A" w:rsidRDefault="00A24BAC">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777777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278F5B46"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427FE0" w:rsidRPr="00CC3A28">
        <w:rPr>
          <w:rFonts w:ascii="Times" w:hAnsi="Times"/>
          <w:bCs/>
          <w:sz w:val="22"/>
          <w:szCs w:val="22"/>
        </w:rPr>
        <w:t xml:space="preserve">est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4"/>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309020E6"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706CA00C" w14:textId="371AFF3A" w:rsidR="00A24BAC" w:rsidRDefault="00A24BAC" w:rsidP="00245D92">
      <w:pPr>
        <w:rPr>
          <w:rFonts w:ascii="Times" w:hAnsi="Times"/>
          <w:color w:val="FF0000"/>
          <w:sz w:val="22"/>
          <w:szCs w:val="22"/>
        </w:rPr>
      </w:pPr>
      <w:r w:rsidRPr="00245D92">
        <w:rPr>
          <w:rFonts w:ascii="Times" w:hAnsi="Times"/>
          <w:snapToGrid w:val="0"/>
          <w:color w:val="000000"/>
          <w:sz w:val="22"/>
          <w:szCs w:val="22"/>
        </w:rPr>
        <w:t xml:space="preserve">6.11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1A40A51A" w14:textId="77777777" w:rsidR="00644ABC" w:rsidRDefault="00644ABC" w:rsidP="00245D92">
      <w:pPr>
        <w:rPr>
          <w:rFonts w:ascii="Times" w:hAnsi="Times"/>
          <w:color w:val="FF0000"/>
          <w:sz w:val="22"/>
          <w:szCs w:val="22"/>
        </w:rPr>
      </w:pPr>
    </w:p>
    <w:p w14:paraId="14C89326" w14:textId="58874787" w:rsidR="00DA055B" w:rsidRDefault="00644ABC" w:rsidP="00644ABC">
      <w:pPr>
        <w:rPr>
          <w:rFonts w:ascii="Times" w:hAnsi="Times"/>
          <w:color w:val="76923C" w:themeColor="accent3" w:themeShade="BF"/>
          <w:sz w:val="22"/>
          <w:szCs w:val="22"/>
        </w:rPr>
      </w:pPr>
      <w:r w:rsidRPr="001E371B">
        <w:rPr>
          <w:rFonts w:ascii="Times" w:hAnsi="Times"/>
          <w:snapToGrid w:val="0"/>
          <w:color w:val="76923C" w:themeColor="accent3" w:themeShade="BF"/>
          <w:sz w:val="22"/>
          <w:szCs w:val="22"/>
        </w:rPr>
        <w:t xml:space="preserve">6.12 (version avant modification) </w:t>
      </w:r>
      <w:r w:rsidRPr="001E371B">
        <w:rPr>
          <w:rFonts w:ascii="Times" w:hAnsi="Times"/>
          <w:color w:val="76923C" w:themeColor="accent3" w:themeShade="BF"/>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Pr="001E371B">
        <w:rPr>
          <w:rStyle w:val="Appelnotedebasdep"/>
          <w:rFonts w:ascii="Times" w:hAnsi="Times"/>
          <w:color w:val="76923C" w:themeColor="accent3" w:themeShade="BF"/>
          <w:sz w:val="22"/>
          <w:szCs w:val="22"/>
        </w:rPr>
        <w:footnoteReference w:id="5"/>
      </w:r>
      <w:r w:rsidRPr="001E371B">
        <w:rPr>
          <w:rFonts w:ascii="Times" w:hAnsi="Times"/>
          <w:color w:val="76923C" w:themeColor="accent3" w:themeShade="BF"/>
          <w:sz w:val="22"/>
          <w:szCs w:val="22"/>
        </w:rPr>
        <w:t>.</w:t>
      </w:r>
    </w:p>
    <w:p w14:paraId="6DC1E89A" w14:textId="77777777" w:rsidR="00DA055B" w:rsidRPr="001E371B" w:rsidRDefault="00DA055B" w:rsidP="00644ABC">
      <w:pPr>
        <w:rPr>
          <w:rFonts w:ascii="Times" w:hAnsi="Times"/>
          <w:color w:val="76923C" w:themeColor="accent3" w:themeShade="BF"/>
          <w:sz w:val="22"/>
          <w:szCs w:val="22"/>
        </w:rPr>
      </w:pPr>
    </w:p>
    <w:p w14:paraId="430546F1" w14:textId="6F87241E" w:rsidR="00DA055B" w:rsidRPr="00DA055B" w:rsidRDefault="001A6D85" w:rsidP="001E371B">
      <w:pPr>
        <w:rPr>
          <w:rFonts w:ascii="Calibri" w:hAnsi="Calibri" w:cs="Calibri"/>
          <w:color w:val="0070C0"/>
        </w:rPr>
      </w:pPr>
      <w:r w:rsidRPr="001E371B">
        <w:rPr>
          <w:snapToGrid w:val="0"/>
          <w:color w:val="0070C0"/>
        </w:rPr>
        <w:t>6.12</w:t>
      </w:r>
      <w:r w:rsidR="00DA055B">
        <w:rPr>
          <w:snapToGrid w:val="0"/>
          <w:color w:val="0070C0"/>
        </w:rPr>
        <w:t xml:space="preserve"> (proposition 2019)</w:t>
      </w:r>
      <w:r w:rsidRPr="001E371B">
        <w:rPr>
          <w:snapToGrid w:val="0"/>
          <w:color w:val="0070C0"/>
        </w:rPr>
        <w:t xml:space="preserve"> </w:t>
      </w:r>
      <w:r w:rsidRPr="001E371B">
        <w:rPr>
          <w:color w:val="0070C0"/>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Pr>
          <w:color w:val="0070C0"/>
        </w:rPr>
        <w:t xml:space="preserve"> / </w:t>
      </w:r>
      <w:r w:rsidR="00A91C23">
        <w:rPr>
          <w:rFonts w:ascii="Calibri" w:hAnsi="Calibri" w:cs="Calibri"/>
        </w:rPr>
        <w:t>NISO RP-9-2014</w:t>
      </w:r>
      <w:r w:rsidR="00A91C23" w:rsidRPr="00E83967">
        <w:rPr>
          <w:rFonts w:ascii="Calibri" w:hAnsi="Calibri" w:cs="Calibri"/>
        </w:rPr>
        <w:t> </w:t>
      </w:r>
      <w:r w:rsidR="00A91C23">
        <w:t xml:space="preserve"> </w:t>
      </w:r>
      <w:r w:rsidRPr="001E371B">
        <w:rPr>
          <w:rStyle w:val="Appelnotedebasdep"/>
          <w:rFonts w:ascii="Times" w:hAnsi="Times"/>
          <w:color w:val="0070C0"/>
          <w:sz w:val="22"/>
          <w:szCs w:val="22"/>
        </w:rPr>
        <w:footnoteReference w:id="6"/>
      </w:r>
      <w:r w:rsidR="001356CA" w:rsidRPr="001E371B">
        <w:rPr>
          <w:rFonts w:ascii="Calibri" w:hAnsi="Calibri" w:cs="Calibri"/>
          <w:color w:val="0070C0"/>
        </w:rPr>
        <w:t xml:space="preserve"> pour les revues et e-books, correspondant à la norme NISO RP-9-2014</w:t>
      </w:r>
      <w:r w:rsidRPr="001E371B">
        <w:rPr>
          <w:color w:val="0070C0"/>
        </w:rPr>
        <w:t>.</w:t>
      </w:r>
      <w:r w:rsidR="001356CA" w:rsidRPr="001E371B">
        <w:rPr>
          <w:rFonts w:ascii="Calibri" w:hAnsi="Calibri" w:cs="Calibri"/>
          <w:color w:val="0070C0"/>
        </w:rPr>
        <w:t xml:space="preserve"> Format MARC pour les notices </w:t>
      </w:r>
      <w:r w:rsidR="001356CA" w:rsidRPr="001E371B">
        <w:rPr>
          <w:rFonts w:ascii="Calibri" w:hAnsi="Calibri" w:cs="Calibri"/>
          <w:color w:val="0070C0"/>
        </w:rPr>
        <w:lastRenderedPageBreak/>
        <w:t>relatives aux titres d’e-books. Les notices devront inclure l’intégralité des informations bibliographiques disponibles ; les caractères doivent utiliser le codage UTF8</w:t>
      </w:r>
      <w:r w:rsidR="00DA055B" w:rsidRPr="00DA055B">
        <w:rPr>
          <w:rFonts w:ascii="Calibri" w:hAnsi="Calibri" w:cs="Calibri"/>
          <w:color w:val="0070C0"/>
        </w:rPr>
        <w:t>.</w:t>
      </w:r>
    </w:p>
    <w:p w14:paraId="0094E5A8" w14:textId="1ED892C2" w:rsidR="00DA055B" w:rsidRPr="001E371B" w:rsidRDefault="001356CA" w:rsidP="001E371B">
      <w:pPr>
        <w:rPr>
          <w:color w:val="0070C0"/>
        </w:rPr>
      </w:pPr>
      <w:r w:rsidRPr="001E371B">
        <w:rPr>
          <w:color w:val="0070C0"/>
        </w:rPr>
        <w:t>Le Concédant s’engage à fournir aux bénéficiaires la documentation afférente aux métadonnées.</w:t>
      </w:r>
    </w:p>
    <w:p w14:paraId="6B3B0EF5" w14:textId="7582E887" w:rsidR="00DA055B" w:rsidRPr="001E371B" w:rsidRDefault="001356CA" w:rsidP="001E371B">
      <w:pPr>
        <w:rPr>
          <w:color w:val="0070C0"/>
        </w:rPr>
      </w:pPr>
      <w:r w:rsidRPr="001E371B">
        <w:rPr>
          <w:color w:val="0070C0"/>
        </w:rPr>
        <w:t>Le Concédant concède aux bénéficiaires le droit de modifier le format des Métadonnées et de les enrichir par ajout de contenus ou de liens.</w:t>
      </w:r>
      <w:r w:rsidR="00644ABC" w:rsidRPr="001E371B">
        <w:rPr>
          <w:rFonts w:eastAsiaTheme="minorHAnsi"/>
          <w:color w:val="0070C0"/>
          <w:sz w:val="22"/>
          <w:szCs w:val="22"/>
          <w:lang w:eastAsia="en-US"/>
        </w:rPr>
        <w:t xml:space="preserve"> </w:t>
      </w:r>
      <w:r w:rsidR="00644ABC" w:rsidRPr="001E371B">
        <w:rPr>
          <w:color w:val="0070C0"/>
        </w:rPr>
        <w:t>Les métadonnées pourront</w:t>
      </w:r>
      <w:r w:rsidR="00DA055B">
        <w:rPr>
          <w:color w:val="0070C0"/>
        </w:rPr>
        <w:t xml:space="preserve"> donc</w:t>
      </w:r>
      <w:r w:rsidR="00644ABC" w:rsidRPr="001E371B">
        <w:rPr>
          <w:color w:val="0070C0"/>
        </w:rPr>
        <w:t xml:space="preserve"> être intégrées à l’ensemble des catalogues collectifs (à titre d’exemple le SUDOC et WorldCat) et à la base de connaissance nationale BACON</w:t>
      </w:r>
    </w:p>
    <w:p w14:paraId="039DD53C" w14:textId="70B6ECC2" w:rsidR="001356CA" w:rsidRPr="001E371B" w:rsidRDefault="001356CA" w:rsidP="001E371B">
      <w:pPr>
        <w:rPr>
          <w:color w:val="0070C0"/>
        </w:rPr>
      </w:pPr>
      <w:r w:rsidRPr="001E371B">
        <w:rPr>
          <w:color w:val="0070C0"/>
        </w:rPr>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7F8C42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F7B44F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lastRenderedPageBreak/>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quarante 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217F6D">
        <w:rPr>
          <w:rFonts w:ascii="Times" w:hAnsi="Times"/>
          <w:snapToGrid w:val="0"/>
          <w:color w:val="000000"/>
          <w:sz w:val="22"/>
          <w:szCs w:val="22"/>
        </w:rPr>
        <w:t>DURÉE</w:t>
      </w:r>
      <w:r w:rsidRPr="00CC3A28">
        <w:rPr>
          <w:rFonts w:ascii="Times" w:hAnsi="Times"/>
          <w:snapToGrid w:val="0"/>
          <w:color w:val="000000"/>
          <w:sz w:val="22"/>
          <w:szCs w:val="22"/>
        </w:rPr>
        <w:t>] à compter du [</w:t>
      </w:r>
      <w:r w:rsidRPr="00217F6D">
        <w:rPr>
          <w:rFonts w:ascii="Times" w:hAnsi="Times"/>
          <w:snapToGrid w:val="0"/>
          <w:color w:val="000000"/>
          <w:sz w:val="22"/>
          <w:szCs w:val="22"/>
        </w:rPr>
        <w:t>DATE</w:t>
      </w:r>
      <w:r w:rsidRPr="00CC3A28">
        <w:rPr>
          <w:rFonts w:ascii="Times" w:hAnsi="Times"/>
          <w:snapToGrid w:val="0"/>
          <w:color w:val="000000"/>
          <w:sz w:val="22"/>
          <w:szCs w:val="22"/>
        </w:rPr>
        <w:t>] et jusqu’au [</w:t>
      </w:r>
      <w:r w:rsidRPr="00217F6D">
        <w:rPr>
          <w:rFonts w:ascii="Times" w:hAnsi="Times"/>
          <w:snapToGrid w:val="0"/>
          <w:color w:val="000000"/>
          <w:sz w:val="22"/>
          <w:szCs w:val="22"/>
        </w:rPr>
        <w:t>DATE</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70A5B49D"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éDITEUR ou du diffuseur</w:t>
      </w:r>
      <w:r w:rsidRPr="002D7EC2">
        <w:rPr>
          <w:rFonts w:ascii="Times" w:hAnsi="Times"/>
          <w:snapToGrid w:val="0"/>
          <w:color w:val="000000"/>
          <w:sz w:val="22"/>
          <w:szCs w:val="22"/>
        </w:rPr>
        <w:t>]</w:t>
      </w:r>
    </w:p>
    <w:p w14:paraId="5062CAA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éditeur ou du diffuseur</w:t>
      </w:r>
      <w:r w:rsidRPr="002D7EC2">
        <w:rPr>
          <w:rFonts w:ascii="Times" w:hAnsi="Times"/>
          <w:snapToGrid w:val="0"/>
          <w:color w:val="000000"/>
          <w:sz w:val="22"/>
          <w:szCs w:val="22"/>
        </w:rPr>
        <w: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0BE862B6"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(ci 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77777777" w:rsidR="00A24BAC" w:rsidRPr="002D7EC2" w:rsidRDefault="00A24BAC">
      <w:pPr>
        <w:jc w:val="both"/>
        <w:rPr>
          <w:rFonts w:ascii="Times" w:hAnsi="Times"/>
          <w:sz w:val="22"/>
          <w:szCs w:val="22"/>
        </w:rPr>
      </w:pPr>
      <w:r w:rsidRPr="002D7EC2">
        <w:rPr>
          <w:rFonts w:ascii="Times" w:hAnsi="Times"/>
          <w:sz w:val="22"/>
          <w:szCs w:val="22"/>
        </w:rPr>
        <w:t>L’augmentation annuelle maximum est de [</w:t>
      </w:r>
      <w:r w:rsidRPr="005F7CEB">
        <w:rPr>
          <w:rFonts w:ascii="Times" w:hAnsi="Times"/>
          <w:sz w:val="22"/>
          <w:szCs w:val="22"/>
        </w:rPr>
        <w:t>X</w:t>
      </w:r>
      <w:r w:rsidRPr="002D7EC2">
        <w:rPr>
          <w:rFonts w:ascii="Times" w:hAnsi="Times"/>
          <w:sz w:val="22"/>
          <w:szCs w:val="22"/>
        </w:rPr>
        <w:t xml:space="preserve">] % pour le papier et l’électronique. Cette augmentation sera calculée </w:t>
      </w:r>
      <w:r w:rsidRPr="005F7CEB">
        <w:rPr>
          <w:rFonts w:ascii="Times" w:hAnsi="Times"/>
          <w:sz w:val="22"/>
          <w:szCs w:val="22"/>
        </w:rPr>
        <w:t>[…]</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acquiert les droits d’archives pour l’ensemble des Eléments sous Licence à partir de [</w:t>
      </w:r>
      <w:r w:rsidRPr="005F7CEB">
        <w:rPr>
          <w:rFonts w:ascii="Times" w:hAnsi="Times"/>
          <w:snapToGrid w:val="0"/>
          <w:sz w:val="22"/>
          <w:szCs w:val="22"/>
        </w:rPr>
        <w:t>ANNÉE</w:t>
      </w:r>
      <w:r w:rsidRPr="002D7EC2">
        <w:rPr>
          <w:rFonts w:ascii="Times" w:hAnsi="Times"/>
          <w:snapToGrid w:val="0"/>
          <w:sz w:val="22"/>
          <w:szCs w:val="22"/>
        </w:rPr>
        <w:t>]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lastRenderedPageBreak/>
        <w:t>[…]</w:t>
      </w:r>
    </w:p>
    <w:p w14:paraId="1F3774A5" w14:textId="77777777" w:rsidR="00A24BAC" w:rsidRPr="002D7EC2" w:rsidRDefault="00A24BAC">
      <w:pPr>
        <w:jc w:val="both"/>
        <w:rPr>
          <w:rFonts w:ascii="Times" w:hAnsi="Times"/>
          <w:snapToGrid w:val="0"/>
          <w:sz w:val="22"/>
          <w:szCs w:val="22"/>
        </w:rPr>
      </w:pPr>
    </w:p>
    <w:p w14:paraId="2D828EDF"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04AFCBF2" w14:textId="77777777" w:rsidR="00A24BAC" w:rsidRPr="002D7EC2" w:rsidRDefault="00A24BAC">
      <w:pPr>
        <w:jc w:val="both"/>
        <w:rPr>
          <w:rFonts w:ascii="Times" w:hAnsi="Times"/>
          <w:snapToGrid w:val="0"/>
          <w:sz w:val="22"/>
          <w:szCs w:val="22"/>
        </w:rPr>
      </w:pPr>
    </w:p>
    <w:p w14:paraId="672FA89A"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Les établissements qui passent au tout électronique bénéficient d’une remise tarifaire de [</w:t>
      </w:r>
      <w:r w:rsidRPr="005F7CEB">
        <w:rPr>
          <w:rFonts w:ascii="Times" w:hAnsi="Times"/>
          <w:snapToGrid w:val="0"/>
          <w:sz w:val="22"/>
          <w:szCs w:val="22"/>
        </w:rPr>
        <w:t>X</w:t>
      </w:r>
      <w:r w:rsidRPr="002D7EC2">
        <w:rPr>
          <w:rFonts w:ascii="Times" w:hAnsi="Times"/>
          <w:snapToGrid w:val="0"/>
          <w:sz w:val="22"/>
          <w:szCs w:val="22"/>
        </w:rPr>
        <w:t>] % pour l’achat des revues papier auxquels ils étaient précédemment abonnés.</w:t>
      </w:r>
    </w:p>
    <w:p w14:paraId="2A6403CC" w14:textId="77777777" w:rsidR="00A24BAC" w:rsidRPr="002D7EC2" w:rsidRDefault="00A24BAC">
      <w:pPr>
        <w:pStyle w:val="Corpsdetexte3"/>
        <w:rPr>
          <w:rFonts w:ascii="Times" w:hAnsi="Times"/>
          <w:i w:val="0"/>
          <w:color w:val="auto"/>
          <w:szCs w:val="22"/>
        </w:rPr>
      </w:pPr>
      <w:r w:rsidRPr="002D7EC2">
        <w:rPr>
          <w:rFonts w:ascii="Times" w:hAnsi="Times"/>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Préciser que la finalité est l’exploitation des métadonnées à des fins de date ou text-mini</w:t>
      </w:r>
      <w:r w:rsidR="005F7CEB" w:rsidRPr="005F7CEB">
        <w:rPr>
          <w:rFonts w:ascii="Times" w:hAnsi="Times"/>
          <w:i/>
          <w:snapToGrid w:val="0"/>
          <w:sz w:val="22"/>
          <w:szCs w:val="22"/>
        </w:rPr>
        <w:t>n</w:t>
      </w:r>
      <w:r w:rsidRPr="005F7CEB">
        <w:rPr>
          <w:rFonts w:ascii="Times" w:hAnsi="Times"/>
          <w:i/>
          <w:snapToGrid w:val="0"/>
          <w:sz w:val="22"/>
          <w:szCs w:val="22"/>
        </w:rPr>
        <w:t>g</w:t>
      </w:r>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1A230DE8" w14:textId="1B9530C4" w:rsidR="007F5249" w:rsidRDefault="007F5249">
      <w:pPr>
        <w:rPr>
          <w:rFonts w:ascii="Times" w:hAnsi="Times"/>
          <w:snapToGrid w:val="0"/>
          <w:sz w:val="22"/>
          <w:szCs w:val="22"/>
        </w:rPr>
      </w:pPr>
      <w:r>
        <w:rPr>
          <w:rFonts w:ascii="Times" w:hAnsi="Times"/>
          <w:snapToGrid w:val="0"/>
          <w:sz w:val="22"/>
          <w:szCs w:val="22"/>
        </w:rPr>
        <w:br w:type="page"/>
      </w:r>
    </w:p>
    <w:p w14:paraId="457C800E" w14:textId="2FA423E8" w:rsidR="00A24BAC" w:rsidRPr="00B8472C" w:rsidRDefault="007F5249" w:rsidP="002D7EC2">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4 : Droits d’archivage national</w:t>
      </w:r>
    </w:p>
    <w:p w14:paraId="47024A08" w14:textId="77777777" w:rsidR="007F5249" w:rsidRDefault="007F5249" w:rsidP="002D7EC2">
      <w:pPr>
        <w:jc w:val="both"/>
        <w:rPr>
          <w:rFonts w:ascii="Times" w:hAnsi="Times"/>
          <w:b/>
          <w:snapToGrid w:val="0"/>
          <w:color w:val="000000"/>
          <w:sz w:val="22"/>
          <w:szCs w:val="22"/>
        </w:rPr>
      </w:pPr>
    </w:p>
    <w:p w14:paraId="3DDEEB13" w14:textId="77777777" w:rsidR="007F5249" w:rsidRDefault="007F5249" w:rsidP="002D7EC2">
      <w:pPr>
        <w:jc w:val="both"/>
        <w:rPr>
          <w:rFonts w:ascii="Times" w:hAnsi="Times"/>
          <w:b/>
          <w:snapToGrid w:val="0"/>
          <w:color w:val="000000"/>
          <w:sz w:val="22"/>
          <w:szCs w:val="22"/>
        </w:rPr>
      </w:pPr>
    </w:p>
    <w:p w14:paraId="4007173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§1 - Un  droit  d'accès  pérenne  sur  l’ensemble  des  titres  &lt;intitulé du bouquet&gt; &lt;indiqué en annexe N&gt; et  aux  titres  sur  le  mode  « Titre-à-Titre » &lt;indiqués en annexe NN&gt;  est accordé à &lt;l’ensemble des Abonnés&gt;  &lt;l’abonné&gt;  sur la période &lt;date_début&gt; à &lt;date_fin&gt;</w:t>
      </w:r>
    </w:p>
    <w:p w14:paraId="6B12A6AB" w14:textId="77777777" w:rsidR="00841D58" w:rsidRPr="00841D58" w:rsidRDefault="00841D58" w:rsidP="00841D58">
      <w:pPr>
        <w:jc w:val="both"/>
        <w:rPr>
          <w:rFonts w:ascii="Times" w:hAnsi="Times"/>
          <w:snapToGrid w:val="0"/>
          <w:sz w:val="22"/>
          <w:szCs w:val="22"/>
        </w:rPr>
      </w:pPr>
    </w:p>
    <w:p w14:paraId="4590F17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§2 - Au terme du présent  marché, &lt; tous les  Abonnés pourront&gt; &lt;l’abonné pourra&gt;  accéder  à  l’ensemble des titres contenus mentionnés en §1 à la fois :</w:t>
      </w:r>
    </w:p>
    <w:p w14:paraId="648C727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via  la  plateforme  du  Titulaire,  accessible  à  l’adresse </w:t>
      </w:r>
    </w:p>
    <w:p w14:paraId="7B10325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http://www.....</w:t>
      </w:r>
    </w:p>
    <w:p w14:paraId="37674DA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(Mentionner le cas échéant une date butoir ou des conditions tarifaires de type droits de plateforme)</w:t>
      </w:r>
    </w:p>
    <w:p w14:paraId="1119EB3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via  la  plateforme  PANIST,  ou  toute  autre  plateforme  nationale  de  dépôt amenée  à  la  remplacer,  respectant  les  modalités  d’accès  ci-dessous,  développée  par  les  opérateurs  désignés  par  le  Ministère chargé  de  l'Enseignement Supérieur et de la Recherche </w:t>
      </w:r>
    </w:p>
    <w:p w14:paraId="2A623D28" w14:textId="77777777" w:rsidR="00841D58" w:rsidRPr="00841D58" w:rsidRDefault="00841D58" w:rsidP="00841D58">
      <w:pPr>
        <w:jc w:val="both"/>
        <w:rPr>
          <w:rFonts w:ascii="Times" w:hAnsi="Times"/>
          <w:snapToGrid w:val="0"/>
          <w:sz w:val="22"/>
          <w:szCs w:val="22"/>
        </w:rPr>
      </w:pPr>
    </w:p>
    <w:p w14:paraId="15D0F1A3"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3 -Les conditions d’accès sur la plateforme du Titulaire après la fin du présent marché sont définies dans le Contrat de licence .  (voir en fin de ce  document deux exemples d’ usages autorisés)</w:t>
      </w:r>
    </w:p>
    <w:p w14:paraId="0BD2C658" w14:textId="77777777" w:rsidR="00841D58" w:rsidRPr="00841D58" w:rsidRDefault="00841D58" w:rsidP="00841D58">
      <w:pPr>
        <w:jc w:val="both"/>
        <w:rPr>
          <w:rFonts w:ascii="Times" w:hAnsi="Times"/>
          <w:snapToGrid w:val="0"/>
          <w:sz w:val="22"/>
          <w:szCs w:val="22"/>
        </w:rPr>
      </w:pPr>
    </w:p>
    <w:p w14:paraId="300FE66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§4 - Cet accès sur la plateforme développée par les opérateurs désignés par le  Ministère en charge de l'Enseignement Supérieur et de  la Recherche  est consenti par le Titulaire à titre gratuit sans limite de temps. </w:t>
      </w:r>
    </w:p>
    <w:p w14:paraId="6D07AFDF" w14:textId="77777777" w:rsidR="00841D58" w:rsidRPr="00841D58" w:rsidRDefault="00841D58" w:rsidP="00841D58">
      <w:pPr>
        <w:jc w:val="both"/>
        <w:rPr>
          <w:rFonts w:ascii="Times" w:hAnsi="Times"/>
          <w:snapToGrid w:val="0"/>
          <w:sz w:val="22"/>
          <w:szCs w:val="22"/>
        </w:rPr>
      </w:pPr>
    </w:p>
    <w:p w14:paraId="5AF2FAC4"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5 - Le dépôt de l’ensemble des titres mentionnées  en §1   est  fait  à l'INIST-CNRS.  A  ce  titre,  l’abonné  garantit  le  Titulaire  de bénéficier de l’ensemble des autorisations nécessaires de l'INIST-CNRS aux fins des présentes.</w:t>
      </w:r>
    </w:p>
    <w:p w14:paraId="368B1BA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Le  Titulaire  adressera  le  media  (électronique)  contenant  les  contenus  annuels  à l’INIST-CNRS (ci-après, « la Copie électronique »), selon les conditions ci-après :</w:t>
      </w:r>
    </w:p>
    <w:p w14:paraId="11B199F6"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La  Copie  électronique  contenant  les  contenus  mentionnés en § 1  au cours de l'année n-1 respectivement pour les années 20NN, 20n1, 20N2 … , </w:t>
      </w:r>
    </w:p>
    <w:p w14:paraId="656C2B3C"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Un document d’accompagnement décrivant la livraison, structure et contenus des dossiers</w:t>
      </w:r>
    </w:p>
    <w:p w14:paraId="01C397D5" w14:textId="77777777" w:rsidR="00841D58" w:rsidRPr="00841D58" w:rsidRDefault="00841D58" w:rsidP="00841D58">
      <w:pPr>
        <w:jc w:val="both"/>
        <w:rPr>
          <w:rFonts w:ascii="Times" w:hAnsi="Times"/>
          <w:snapToGrid w:val="0"/>
          <w:sz w:val="22"/>
          <w:szCs w:val="22"/>
        </w:rPr>
      </w:pPr>
    </w:p>
    <w:p w14:paraId="47A4839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6 -  Le Titulaire s’engage à fournir la Copie électronique au format &lt;description du format &gt; afin de permettre que la plateforme PANIST, ou toute autre plateforme nationale de dépôt amenée à la remplacer,  puisse présenter l’ensemble du matériel scientifique des articles tel qu’il est présenté sur la plateforme du Titulaire  pour les  contenus  du présent contrat.</w:t>
      </w:r>
    </w:p>
    <w:p w14:paraId="0D59476D" w14:textId="77777777" w:rsidR="00841D58" w:rsidRPr="00841D58" w:rsidRDefault="00841D58" w:rsidP="00841D58">
      <w:pPr>
        <w:jc w:val="both"/>
        <w:rPr>
          <w:rFonts w:ascii="Times" w:hAnsi="Times"/>
          <w:snapToGrid w:val="0"/>
          <w:sz w:val="22"/>
          <w:szCs w:val="22"/>
        </w:rPr>
      </w:pPr>
    </w:p>
    <w:p w14:paraId="3515C59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7 - Les  formats de livraison ultérieurs  feront  l’objet d’un accord explicite des parties en  tenant  compte  notamment  de  la  qualité  des  données  (XMLs,   DFs,  …)  et  des métadonnées  articles  associées  (dont  l’encodage)  fournies  et  leur  possibilité  d’exploitation  aux  fins  de  dépôt  et  des  coûts  de  traitement  et  de  développement logiciel.</w:t>
      </w:r>
    </w:p>
    <w:p w14:paraId="1F4AE789" w14:textId="77777777" w:rsidR="00841D58" w:rsidRPr="00841D58" w:rsidRDefault="00841D58" w:rsidP="00841D58">
      <w:pPr>
        <w:jc w:val="both"/>
        <w:rPr>
          <w:rFonts w:ascii="Times" w:hAnsi="Times"/>
          <w:snapToGrid w:val="0"/>
          <w:sz w:val="22"/>
          <w:szCs w:val="22"/>
        </w:rPr>
      </w:pPr>
    </w:p>
    <w:p w14:paraId="17A141E6"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8 - Chaque livraison devra être accompagnée  d’un document précisant de façon la plus précise et la plus exhaustive possible :</w:t>
      </w:r>
    </w:p>
    <w:p w14:paraId="2069C0D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Le nombre total d’éléments et de sous éléments. </w:t>
      </w:r>
    </w:p>
    <w:p w14:paraId="1417B8FF"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Une description du format des données, c’est à dire l’organisation des données sur  le  disque  (ex  ISSN/Année/volume/Numero/…  ou  Année/ISSN/volume/Numero/…).</w:t>
      </w:r>
    </w:p>
    <w:p w14:paraId="6D20CDA6" w14:textId="77777777" w:rsidR="00841D58" w:rsidRDefault="00841D58" w:rsidP="00841D58">
      <w:pPr>
        <w:jc w:val="both"/>
        <w:rPr>
          <w:rFonts w:ascii="Times" w:hAnsi="Times"/>
          <w:snapToGrid w:val="0"/>
          <w:sz w:val="22"/>
          <w:szCs w:val="22"/>
        </w:rPr>
      </w:pPr>
      <w:r w:rsidRPr="00841D58">
        <w:rPr>
          <w:rFonts w:ascii="Times" w:hAnsi="Times"/>
          <w:snapToGrid w:val="0"/>
          <w:sz w:val="22"/>
          <w:szCs w:val="22"/>
        </w:rPr>
        <w:t>-  Si  une  nomenclature  spécifique  est  utilisée,  une  description  de  celle-ci  sera  demandée (ex VOL=Year.VolumeID).</w:t>
      </w:r>
    </w:p>
    <w:p w14:paraId="7F334B5B" w14:textId="032B86E7" w:rsidR="00857B3B" w:rsidRPr="00841D58" w:rsidRDefault="00857B3B" w:rsidP="00841D58">
      <w:pPr>
        <w:jc w:val="both"/>
        <w:rPr>
          <w:rFonts w:ascii="Times" w:hAnsi="Times"/>
          <w:snapToGrid w:val="0"/>
          <w:sz w:val="22"/>
          <w:szCs w:val="22"/>
        </w:rPr>
      </w:pPr>
      <w:r>
        <w:rPr>
          <w:rFonts w:ascii="Times" w:hAnsi="Times"/>
          <w:snapToGrid w:val="0"/>
          <w:sz w:val="22"/>
          <w:szCs w:val="22"/>
        </w:rPr>
        <w:t>- un fichier de droits précisant pour chaque établissement bénéficiaire</w:t>
      </w:r>
      <w:r w:rsidR="00A00735">
        <w:rPr>
          <w:rFonts w:ascii="Times" w:hAnsi="Times"/>
          <w:snapToGrid w:val="0"/>
          <w:sz w:val="22"/>
          <w:szCs w:val="22"/>
        </w:rPr>
        <w:t xml:space="preserve"> et son identifiant de référence</w:t>
      </w:r>
      <w:r>
        <w:rPr>
          <w:rFonts w:ascii="Times" w:hAnsi="Times"/>
          <w:snapToGrid w:val="0"/>
          <w:sz w:val="22"/>
          <w:szCs w:val="22"/>
        </w:rPr>
        <w:t>, les titres, identifiants normalisés (ISSN, ISBN,…)</w:t>
      </w:r>
      <w:r w:rsidR="00A00735">
        <w:rPr>
          <w:rFonts w:ascii="Times" w:hAnsi="Times"/>
          <w:snapToGrid w:val="0"/>
          <w:sz w:val="22"/>
          <w:szCs w:val="22"/>
        </w:rPr>
        <w:t xml:space="preserve">, contrat ou licence de référence (titre à titre, bouquet N, Licence nationale, …) </w:t>
      </w:r>
      <w:r>
        <w:rPr>
          <w:rFonts w:ascii="Times" w:hAnsi="Times"/>
          <w:snapToGrid w:val="0"/>
          <w:sz w:val="22"/>
          <w:szCs w:val="22"/>
        </w:rPr>
        <w:t xml:space="preserve">et périodes chronologiques concernées. Les </w:t>
      </w:r>
      <w:r w:rsidRPr="00857B3B">
        <w:rPr>
          <w:rFonts w:ascii="Times" w:hAnsi="Times"/>
          <w:snapToGrid w:val="0"/>
          <w:sz w:val="22"/>
          <w:szCs w:val="22"/>
        </w:rPr>
        <w:t xml:space="preserve">règles à respecter </w:t>
      </w:r>
      <w:r>
        <w:rPr>
          <w:rFonts w:ascii="Times" w:hAnsi="Times"/>
          <w:snapToGrid w:val="0"/>
          <w:sz w:val="22"/>
          <w:szCs w:val="22"/>
        </w:rPr>
        <w:t>et</w:t>
      </w:r>
      <w:r w:rsidRPr="00857B3B">
        <w:rPr>
          <w:rFonts w:ascii="Times" w:hAnsi="Times"/>
          <w:snapToGrid w:val="0"/>
          <w:sz w:val="22"/>
          <w:szCs w:val="22"/>
        </w:rPr>
        <w:t xml:space="preserve"> le modèle de fichier</w:t>
      </w:r>
      <w:r>
        <w:rPr>
          <w:rFonts w:ascii="Times" w:hAnsi="Times"/>
          <w:snapToGrid w:val="0"/>
          <w:sz w:val="22"/>
          <w:szCs w:val="22"/>
        </w:rPr>
        <w:t xml:space="preserve"> seront communiquées par l’Inist.</w:t>
      </w:r>
    </w:p>
    <w:p w14:paraId="1E7E504B" w14:textId="77777777" w:rsidR="00841D58" w:rsidRPr="00841D58" w:rsidRDefault="00841D58" w:rsidP="00841D58">
      <w:pPr>
        <w:jc w:val="both"/>
        <w:rPr>
          <w:rFonts w:ascii="Times" w:hAnsi="Times"/>
          <w:snapToGrid w:val="0"/>
          <w:sz w:val="22"/>
          <w:szCs w:val="22"/>
        </w:rPr>
      </w:pPr>
    </w:p>
    <w:p w14:paraId="6EDB11CE"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lastRenderedPageBreak/>
        <w:t>§ 9 - Le  correspondant technique chez le Titulaire est &lt;Prénom Nom_ coordonnées&gt; ou toute personne amenée à le remplacer.</w:t>
      </w:r>
    </w:p>
    <w:p w14:paraId="6546ED64"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10 - L’INIST-CNRS  fait  son  affaire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w:t>
      </w:r>
    </w:p>
    <w:p w14:paraId="6D0E0232" w14:textId="77777777" w:rsidR="00841D58" w:rsidRPr="00841D58" w:rsidRDefault="00841D58" w:rsidP="00841D58">
      <w:pPr>
        <w:jc w:val="both"/>
        <w:rPr>
          <w:rFonts w:ascii="Times" w:hAnsi="Times"/>
          <w:snapToGrid w:val="0"/>
          <w:sz w:val="22"/>
          <w:szCs w:val="22"/>
        </w:rPr>
      </w:pPr>
    </w:p>
    <w:p w14:paraId="4D773572"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11 - Les livraisons auront lieu dans les quatre premiers mois des années 20N1, 20N2, 20N3,</w:t>
      </w:r>
    </w:p>
    <w:p w14:paraId="714A24DC" w14:textId="77777777" w:rsidR="00841D58" w:rsidRPr="00841D58" w:rsidRDefault="00841D58" w:rsidP="00841D58">
      <w:pPr>
        <w:jc w:val="both"/>
        <w:rPr>
          <w:rFonts w:ascii="Times" w:hAnsi="Times"/>
          <w:snapToGrid w:val="0"/>
          <w:sz w:val="22"/>
          <w:szCs w:val="22"/>
        </w:rPr>
      </w:pPr>
    </w:p>
    <w:p w14:paraId="447512F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12 - L’INIST-CNRS fera son affaire du contrôle des accès des Abonnés, lesquels accès se  feront  via  les  réseaux  sécurisés  en  fonction  des  droits  des  Abonnés  et  sous réserve  des  restrictions  d’usage  et  autres  dispositions  du  présent  marché  et  du  Contrat  de  licence.  L’INIST-CNRS  mettra  en  œuvre  les  outils  nécessaires  pour assurer  le  contrôle  d’accès  aux  contenus.  </w:t>
      </w:r>
    </w:p>
    <w:p w14:paraId="5A648D87" w14:textId="77777777" w:rsidR="00841D58" w:rsidRPr="00841D58" w:rsidRDefault="00841D58" w:rsidP="00841D58">
      <w:pPr>
        <w:jc w:val="both"/>
        <w:rPr>
          <w:rFonts w:ascii="Times" w:hAnsi="Times"/>
          <w:snapToGrid w:val="0"/>
          <w:sz w:val="22"/>
          <w:szCs w:val="22"/>
        </w:rPr>
      </w:pPr>
    </w:p>
    <w:p w14:paraId="5E96560C" w14:textId="28ACDB0E"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13 - Le  Titulaire  communiquera  à  l’INIST</w:t>
      </w:r>
      <w:r w:rsidR="002A02EE">
        <w:rPr>
          <w:rFonts w:ascii="Times" w:hAnsi="Times"/>
          <w:snapToGrid w:val="0"/>
          <w:sz w:val="22"/>
          <w:szCs w:val="22"/>
        </w:rPr>
        <w:t>-</w:t>
      </w:r>
      <w:r w:rsidRPr="00841D58">
        <w:rPr>
          <w:rFonts w:ascii="Times" w:hAnsi="Times"/>
          <w:snapToGrid w:val="0"/>
          <w:sz w:val="22"/>
          <w:szCs w:val="22"/>
        </w:rPr>
        <w:t>CNRS les droits de chaque AbonnéLe Titulaire se réserve le droit de vérifier auprès du site de dépôt en fonction des droits de chaque  Abonné, par tous les moyens légaux, la régularité des accès  par rapport à ce qui est contractuellement prévu.</w:t>
      </w:r>
    </w:p>
    <w:p w14:paraId="486FFAAD" w14:textId="77777777" w:rsidR="00841D58" w:rsidRPr="00841D58" w:rsidRDefault="00841D58" w:rsidP="00841D58">
      <w:pPr>
        <w:jc w:val="both"/>
        <w:rPr>
          <w:rFonts w:ascii="Times" w:hAnsi="Times"/>
          <w:snapToGrid w:val="0"/>
          <w:sz w:val="22"/>
          <w:szCs w:val="22"/>
        </w:rPr>
      </w:pPr>
    </w:p>
    <w:p w14:paraId="0AF0A36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14 - Les  Copies  électroniques  des  contenus  mentionnés  en §1  pourront  être conservées indéfiniment.</w:t>
      </w:r>
    </w:p>
    <w:p w14:paraId="4CB9771E" w14:textId="77777777" w:rsidR="00841D58" w:rsidRPr="00841D58" w:rsidRDefault="00841D58" w:rsidP="00841D58">
      <w:pPr>
        <w:jc w:val="both"/>
        <w:rPr>
          <w:rFonts w:ascii="Times" w:hAnsi="Times"/>
          <w:snapToGrid w:val="0"/>
          <w:sz w:val="22"/>
          <w:szCs w:val="22"/>
        </w:rPr>
      </w:pPr>
    </w:p>
    <w:p w14:paraId="021B856E" w14:textId="4CBBEED6"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15 Le Concédant accorde aux utilisateurs autorisés un droit d’utilisation à distance de sa base de données et des données chargées sur les plateformes d’archivage, à des fins de consultation ainsi qu’à des fins de fouille de texte (data-mining)</w:t>
      </w:r>
      <w:r w:rsidR="002A02EE">
        <w:rPr>
          <w:rStyle w:val="Appelnotedebasdep"/>
          <w:rFonts w:ascii="Times" w:hAnsi="Times"/>
          <w:snapToGrid w:val="0"/>
          <w:sz w:val="22"/>
          <w:szCs w:val="22"/>
        </w:rPr>
        <w:footnoteReference w:id="7"/>
      </w:r>
      <w:r w:rsidRPr="00841D58">
        <w:rPr>
          <w:rFonts w:ascii="Times" w:hAnsi="Times"/>
          <w:snapToGrid w:val="0"/>
          <w:sz w:val="22"/>
          <w:szCs w:val="22"/>
        </w:rPr>
        <w:t>. Les bénéficiaires ne partageront pas l’accès avec des tiers non éligibles à la qualification d’utilisateurs autorisés, que ce soit directement ou indirectement.</w:t>
      </w:r>
    </w:p>
    <w:p w14:paraId="74DA8408" w14:textId="77777777" w:rsidR="00841D58" w:rsidRPr="00841D58" w:rsidRDefault="00841D58" w:rsidP="00841D58">
      <w:pPr>
        <w:jc w:val="both"/>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059F8" w14:textId="77777777" w:rsidR="007D5AA5" w:rsidRDefault="007D5AA5">
      <w:r>
        <w:separator/>
      </w:r>
    </w:p>
  </w:endnote>
  <w:endnote w:type="continuationSeparator" w:id="0">
    <w:p w14:paraId="773CF166" w14:textId="77777777" w:rsidR="007D5AA5" w:rsidRDefault="007D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7557B" w14:textId="77777777" w:rsidR="007D5AA5" w:rsidRDefault="007D5AA5">
      <w:r>
        <w:separator/>
      </w:r>
    </w:p>
  </w:footnote>
  <w:footnote w:type="continuationSeparator" w:id="0">
    <w:p w14:paraId="6829608F" w14:textId="77777777" w:rsidR="007D5AA5" w:rsidRDefault="007D5AA5">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BA6DA63" w14:textId="77777777" w:rsidR="00344047" w:rsidRPr="00245D92" w:rsidRDefault="00344047">
      <w:pPr>
        <w:pStyle w:val="Notedebasdepage"/>
      </w:pPr>
      <w:r>
        <w:rPr>
          <w:rStyle w:val="Appelnotedebasdep"/>
        </w:rPr>
        <w:footnoteRef/>
      </w:r>
      <w:r>
        <w:t xml:space="preserve"> http://</w:t>
      </w:r>
      <w:r w:rsidRPr="00245D92">
        <w:t>www.uksg.org/sites/uksg.org/files/TRANSFER_Code_of_%20Practice_April08.pdf</w:t>
      </w:r>
    </w:p>
  </w:footnote>
  <w:footnote w:id="5">
    <w:p w14:paraId="17E1DED0" w14:textId="77777777" w:rsidR="00644ABC" w:rsidRPr="001A6D85" w:rsidRDefault="00644ABC" w:rsidP="00644ABC">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 w:id="6">
    <w:p w14:paraId="0EDE2644" w14:textId="2147237B" w:rsidR="00344047" w:rsidRPr="001A6D85" w:rsidRDefault="00344047">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4"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5"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 w:id="7">
    <w:p w14:paraId="60C659DD" w14:textId="4DCF55CF" w:rsidR="002A02EE" w:rsidRDefault="002A02EE">
      <w:pPr>
        <w:pStyle w:val="Notedebasdepage"/>
      </w:pPr>
      <w:r>
        <w:rPr>
          <w:rStyle w:val="Appelnotedebasdep"/>
        </w:rPr>
        <w:footnoteRef/>
      </w:r>
      <w:r>
        <w:t xml:space="preserve"> </w:t>
      </w:r>
      <w:r w:rsidRPr="002A02EE">
        <w:t>* facultatif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1A05" w14:textId="5664E96C" w:rsidR="00344047" w:rsidRDefault="00F058A0">
    <w:pPr>
      <w:pStyle w:val="En-tte"/>
      <w:rPr>
        <w:rFonts w:ascii="Arial" w:hAnsi="Arial" w:cs="Arial"/>
        <w:sz w:val="18"/>
        <w:szCs w:val="18"/>
      </w:rPr>
    </w:pPr>
    <w:r>
      <w:rPr>
        <w:rFonts w:ascii="Arial" w:hAnsi="Arial" w:cs="Arial"/>
        <w:sz w:val="18"/>
        <w:szCs w:val="18"/>
      </w:rPr>
      <w:t>Couperin – Licence-type –2020</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356CA"/>
    <w:rsid w:val="00137D6E"/>
    <w:rsid w:val="00166C87"/>
    <w:rsid w:val="00182764"/>
    <w:rsid w:val="001A6D85"/>
    <w:rsid w:val="001C256F"/>
    <w:rsid w:val="001C45F5"/>
    <w:rsid w:val="001E371B"/>
    <w:rsid w:val="001F6208"/>
    <w:rsid w:val="00217F6D"/>
    <w:rsid w:val="00233C2B"/>
    <w:rsid w:val="00245D92"/>
    <w:rsid w:val="00260C28"/>
    <w:rsid w:val="002A02EE"/>
    <w:rsid w:val="002B6536"/>
    <w:rsid w:val="002D7EC2"/>
    <w:rsid w:val="002E39E6"/>
    <w:rsid w:val="002F54C9"/>
    <w:rsid w:val="003003E4"/>
    <w:rsid w:val="00304B14"/>
    <w:rsid w:val="00305334"/>
    <w:rsid w:val="00317808"/>
    <w:rsid w:val="00327C5B"/>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782"/>
    <w:rsid w:val="00427FE0"/>
    <w:rsid w:val="004368FD"/>
    <w:rsid w:val="00487C81"/>
    <w:rsid w:val="004A0BFB"/>
    <w:rsid w:val="004A6CE1"/>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E29"/>
    <w:rsid w:val="00680B63"/>
    <w:rsid w:val="00693D69"/>
    <w:rsid w:val="006A05CE"/>
    <w:rsid w:val="006A7EDC"/>
    <w:rsid w:val="006E779F"/>
    <w:rsid w:val="006F3349"/>
    <w:rsid w:val="0070266F"/>
    <w:rsid w:val="0071121A"/>
    <w:rsid w:val="00734C74"/>
    <w:rsid w:val="00737CC3"/>
    <w:rsid w:val="00744231"/>
    <w:rsid w:val="007454C2"/>
    <w:rsid w:val="00751D45"/>
    <w:rsid w:val="00775009"/>
    <w:rsid w:val="007D5AA5"/>
    <w:rsid w:val="007E20B6"/>
    <w:rsid w:val="007F5249"/>
    <w:rsid w:val="00841D58"/>
    <w:rsid w:val="008472CF"/>
    <w:rsid w:val="008478EF"/>
    <w:rsid w:val="00857B3B"/>
    <w:rsid w:val="008A01BB"/>
    <w:rsid w:val="008E743F"/>
    <w:rsid w:val="008F480F"/>
    <w:rsid w:val="009071C0"/>
    <w:rsid w:val="00936515"/>
    <w:rsid w:val="0094392D"/>
    <w:rsid w:val="0098516E"/>
    <w:rsid w:val="00990AC4"/>
    <w:rsid w:val="009B1030"/>
    <w:rsid w:val="00A00735"/>
    <w:rsid w:val="00A1117E"/>
    <w:rsid w:val="00A24BAC"/>
    <w:rsid w:val="00A370AD"/>
    <w:rsid w:val="00A3789D"/>
    <w:rsid w:val="00A77BBF"/>
    <w:rsid w:val="00A91C23"/>
    <w:rsid w:val="00A92DE9"/>
    <w:rsid w:val="00AB1BAE"/>
    <w:rsid w:val="00AD16F1"/>
    <w:rsid w:val="00B10596"/>
    <w:rsid w:val="00B3573B"/>
    <w:rsid w:val="00B5218C"/>
    <w:rsid w:val="00B6149B"/>
    <w:rsid w:val="00B809E7"/>
    <w:rsid w:val="00B8472C"/>
    <w:rsid w:val="00B9740E"/>
    <w:rsid w:val="00BB54AB"/>
    <w:rsid w:val="00BF1902"/>
    <w:rsid w:val="00BF2603"/>
    <w:rsid w:val="00BF689F"/>
    <w:rsid w:val="00C25C22"/>
    <w:rsid w:val="00C26A2C"/>
    <w:rsid w:val="00C4394F"/>
    <w:rsid w:val="00C73649"/>
    <w:rsid w:val="00C75D04"/>
    <w:rsid w:val="00C9162B"/>
    <w:rsid w:val="00C95717"/>
    <w:rsid w:val="00C97824"/>
    <w:rsid w:val="00CA2B94"/>
    <w:rsid w:val="00CC3A28"/>
    <w:rsid w:val="00CE68EB"/>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40608"/>
    <w:rsid w:val="00E80B63"/>
    <w:rsid w:val="00E83DE6"/>
    <w:rsid w:val="00E874D7"/>
    <w:rsid w:val="00E970D1"/>
    <w:rsid w:val="00EC0442"/>
    <w:rsid w:val="00ED1D12"/>
    <w:rsid w:val="00EE12BF"/>
    <w:rsid w:val="00F022DA"/>
    <w:rsid w:val="00F058A0"/>
    <w:rsid w:val="00F31F19"/>
    <w:rsid w:val="00F42F12"/>
    <w:rsid w:val="00F4621B"/>
    <w:rsid w:val="00F73A3E"/>
    <w:rsid w:val="00F772E4"/>
    <w:rsid w:val="00FA3A66"/>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 Id="rId5" Type="http://schemas.openxmlformats.org/officeDocument/2006/relationships/hyperlink" Target="http://couperin.org/groupes-de-travail-et-projets-deap/acces-aux-ressources-cat/bases-de-connaissances/kbart" TargetMode="External"/><Relationship Id="rId4" Type="http://schemas.openxmlformats.org/officeDocument/2006/relationships/hyperlink" Target="http://www.niso.org/workrooms/kb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7722</Words>
  <Characters>42476</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50098</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JKALFON</cp:lastModifiedBy>
  <cp:revision>2</cp:revision>
  <cp:lastPrinted>2008-04-10T09:20:00Z</cp:lastPrinted>
  <dcterms:created xsi:type="dcterms:W3CDTF">2020-09-03T10:13:00Z</dcterms:created>
  <dcterms:modified xsi:type="dcterms:W3CDTF">2020-09-03T10:13:00Z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