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8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t>[</w:t>
      </w:r>
      <w:r w:rsidRPr="00FA3A66">
        <w:rPr>
          <w:rFonts w:ascii="Times" w:hAnsi="Times"/>
          <w:b/>
          <w:bCs/>
          <w:sz w:val="22"/>
          <w:szCs w:val="22"/>
        </w:rPr>
        <w:t>ANN</w:t>
      </w:r>
      <w:r w:rsidRPr="00FA3A66">
        <w:rPr>
          <w:rFonts w:ascii="Times" w:hAnsi="Times"/>
          <w:b/>
          <w:bCs/>
          <w:caps/>
          <w:sz w:val="22"/>
          <w:szCs w:val="22"/>
        </w:rPr>
        <w:t>é</w:t>
      </w:r>
      <w:r w:rsidRPr="00FA3A66">
        <w:rPr>
          <w:rFonts w:ascii="Times" w:hAnsi="Times"/>
          <w:b/>
          <w:bCs/>
          <w:sz w:val="22"/>
          <w:szCs w:val="22"/>
        </w:rPr>
        <w:t>E</w:t>
      </w:r>
      <w:r w:rsidRPr="00245D92">
        <w:rPr>
          <w:rFonts w:ascii="Times" w:hAnsi="Times"/>
          <w:b/>
          <w:bCs/>
          <w:sz w:val="22"/>
          <w:szCs w:val="22"/>
        </w:rPr>
        <w:t>]</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éditeur ou diffuseur</w:t>
      </w:r>
      <w:r w:rsidRPr="00245D92">
        <w:rPr>
          <w:rFonts w:ascii="Times" w:hAnsi="Times"/>
          <w:b/>
          <w:bCs/>
          <w:sz w:val="22"/>
          <w:szCs w:val="22"/>
        </w:rPr>
        <w:t>]</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1E527A0E"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A24BAC" w:rsidRPr="006A05CE">
        <w:rPr>
          <w:rFonts w:ascii="Times" w:hAnsi="Times"/>
          <w:b/>
          <w:bCs/>
          <w:sz w:val="22"/>
          <w:szCs w:val="22"/>
        </w:rPr>
        <w:t>[</w:t>
      </w:r>
      <w:r w:rsidR="00E80B63">
        <w:rPr>
          <w:rFonts w:ascii="Times" w:hAnsi="Times"/>
          <w:b/>
          <w:bCs/>
          <w:sz w:val="22"/>
          <w:szCs w:val="22"/>
        </w:rPr>
        <w:t xml:space="preserve">NOM DU </w:t>
      </w:r>
      <w:r w:rsidR="00A24BAC" w:rsidRPr="006A05CE">
        <w:rPr>
          <w:rFonts w:ascii="Times" w:hAnsi="Times"/>
          <w:b/>
          <w:bCs/>
          <w:sz w:val="22"/>
          <w:szCs w:val="22"/>
        </w:rPr>
        <w:t>PRODUIT</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2618286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b/>
          <w:bCs/>
          <w:snapToGrid w:val="0"/>
          <w:color w:val="000000"/>
          <w:sz w:val="22"/>
          <w:szCs w:val="22"/>
        </w:rPr>
        <w:t>NOM LEGAL COMPLET DE L’</w:t>
      </w:r>
      <w:r w:rsidRPr="00C95717">
        <w:rPr>
          <w:rFonts w:ascii="Times" w:hAnsi="Times"/>
          <w:b/>
          <w:bCs/>
          <w:caps/>
          <w:sz w:val="22"/>
          <w:szCs w:val="22"/>
        </w:rPr>
        <w:t>éDITEUR ou du diffuseur</w:t>
      </w:r>
      <w:r w:rsidRPr="00245D92">
        <w:rPr>
          <w:rFonts w:ascii="Times" w:hAnsi="Times"/>
          <w:snapToGrid w:val="0"/>
          <w:color w:val="000000"/>
          <w:sz w:val="22"/>
          <w:szCs w:val="22"/>
        </w:rPr>
        <w:t>]</w:t>
      </w:r>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0B4EE7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NOM DU REPRÉSENTANT</w:t>
      </w:r>
      <w:r w:rsidRPr="00245D92">
        <w:rPr>
          <w:rFonts w:ascii="Times" w:hAnsi="Times"/>
          <w:snapToGrid w:val="0"/>
          <w:color w:val="000000"/>
          <w:sz w:val="22"/>
          <w:szCs w:val="22"/>
        </w:rPr>
        <w:t>]</w:t>
      </w:r>
    </w:p>
    <w:p w14:paraId="682DCB2F"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TITRE DU REPRÉSENTANT</w:t>
      </w:r>
      <w:r w:rsidRPr="00245D92">
        <w:rPr>
          <w:rFonts w:ascii="Times" w:hAnsi="Times"/>
          <w:snapToGrid w:val="0"/>
          <w:color w:val="000000"/>
          <w:sz w:val="22"/>
          <w:szCs w:val="22"/>
        </w:rPr>
        <w:t>]</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1D0D19EF"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C25C22">
        <w:rPr>
          <w:rFonts w:ascii="Times" w:hAnsi="Times"/>
          <w:i/>
          <w:snapToGrid w:val="0"/>
          <w:color w:val="000000"/>
          <w:sz w:val="22"/>
          <w:szCs w:val="22"/>
        </w:rPr>
        <w:t xml:space="preserve">BREF DESCRIPTIF DES </w:t>
      </w:r>
      <w:r w:rsidRPr="00C25C22">
        <w:rPr>
          <w:rFonts w:ascii="Times" w:hAnsi="Times"/>
          <w:i/>
          <w:caps/>
          <w:snapToGrid w:val="0"/>
          <w:color w:val="000000"/>
          <w:sz w:val="22"/>
          <w:szCs w:val="22"/>
        </w:rPr>
        <w:t>éléments</w:t>
      </w:r>
      <w:r w:rsidRPr="00C25C22">
        <w:rPr>
          <w:rFonts w:ascii="Times" w:hAnsi="Times"/>
          <w:i/>
          <w:snapToGrid w:val="0"/>
          <w:color w:val="000000"/>
          <w:sz w:val="22"/>
          <w:szCs w:val="22"/>
        </w:rPr>
        <w:t xml:space="preserve"> FAISANT L’OBJET DU </w:t>
      </w:r>
      <w:r w:rsidR="00575F93">
        <w:rPr>
          <w:rFonts w:ascii="Times" w:hAnsi="Times"/>
          <w:i/>
          <w:snapToGrid w:val="0"/>
          <w:color w:val="000000"/>
          <w:sz w:val="22"/>
          <w:szCs w:val="22"/>
        </w:rPr>
        <w:t>CONTRAT</w:t>
      </w:r>
      <w:r w:rsidRPr="00C25C22">
        <w:rPr>
          <w:rFonts w:ascii="Times" w:hAnsi="Times"/>
          <w:i/>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C95717">
        <w:rPr>
          <w:rFonts w:ascii="Times" w:hAnsi="Times"/>
          <w:snapToGrid w:val="0"/>
          <w:color w:val="000000"/>
          <w:sz w:val="22"/>
          <w:szCs w:val="22"/>
        </w:rPr>
        <w:t>NOM DE L’ L’</w:t>
      </w:r>
      <w:r w:rsidRPr="00C95717">
        <w:rPr>
          <w:rFonts w:ascii="Times" w:hAnsi="Times"/>
          <w:caps/>
          <w:sz w:val="22"/>
          <w:szCs w:val="22"/>
        </w:rPr>
        <w:t>éditeur ou du diffuseur</w:t>
      </w:r>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r w:rsidR="00575F93">
        <w:rPr>
          <w:rFonts w:ascii="Times" w:hAnsi="Times"/>
          <w:sz w:val="22"/>
          <w:szCs w:val="22"/>
        </w:rPr>
        <w:t>Contrat</w:t>
      </w:r>
      <w:r w:rsidRPr="00027124">
        <w:rPr>
          <w:rFonts w:ascii="Times" w:hAnsi="Times"/>
          <w:sz w:val="22"/>
          <w:szCs w:val="22"/>
        </w:rPr>
        <w:t>», on entend le présent document et ses annexes, telles que listées ci-dessous :</w:t>
      </w:r>
    </w:p>
    <w:p w14:paraId="3ED65A6F" w14:textId="225046B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40581DD4" w14:textId="0B727796"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lastRenderedPageBreak/>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w:t>
      </w:r>
      <w:proofErr w:type="gramStart"/>
      <w:r w:rsidRPr="00660E29">
        <w:rPr>
          <w:rFonts w:ascii="Times" w:hAnsi="Times"/>
          <w:sz w:val="22"/>
          <w:szCs w:val="22"/>
        </w:rPr>
        <w:t>comme par exemple</w:t>
      </w:r>
      <w:proofErr w:type="gramEnd"/>
      <w:r w:rsidRPr="00660E29">
        <w:rPr>
          <w:rFonts w:ascii="Times" w:hAnsi="Times"/>
          <w:sz w:val="22"/>
          <w:szCs w:val="22"/>
        </w:rPr>
        <w:t xml:space="preserv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4163646B" w14:textId="309FD8AE" w:rsidR="00F84107"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sidR="00F84107">
        <w:rPr>
          <w:rFonts w:ascii="Times" w:hAnsi="Times"/>
          <w:snapToGrid w:val="0"/>
          <w:color w:val="000000"/>
          <w:sz w:val="22"/>
          <w:szCs w:val="22"/>
        </w:rPr>
        <w:t xml:space="preserve"> </w:t>
      </w:r>
      <w:bookmarkStart w:id="0" w:name="_Hlk132643711"/>
      <w:r w:rsidR="00F84107">
        <w:rPr>
          <w:rFonts w:ascii="Times" w:hAnsi="Times"/>
          <w:snapToGrid w:val="0"/>
          <w:color w:val="000000"/>
          <w:sz w:val="22"/>
          <w:szCs w:val="22"/>
        </w:rPr>
        <w:t xml:space="preserve">et à l’ordonnance </w:t>
      </w:r>
      <w:r w:rsidR="00F84107" w:rsidRPr="00F84107">
        <w:rPr>
          <w:rFonts w:ascii="Times" w:hAnsi="Times"/>
          <w:snapToGrid w:val="0"/>
          <w:color w:val="000000"/>
          <w:sz w:val="22"/>
          <w:szCs w:val="22"/>
        </w:rPr>
        <w:t>n° 2021-1518 du 24 novembre 2021</w:t>
      </w:r>
      <w:r w:rsidR="0013098C">
        <w:rPr>
          <w:rStyle w:val="Appelnotedebasdep"/>
          <w:rFonts w:ascii="Times" w:hAnsi="Times"/>
          <w:snapToGrid w:val="0"/>
          <w:color w:val="000000"/>
          <w:sz w:val="22"/>
          <w:szCs w:val="22"/>
        </w:rPr>
        <w:footnoteReference w:id="3"/>
      </w:r>
    </w:p>
    <w:p w14:paraId="53DDC42A" w14:textId="77777777" w:rsidR="0013098C" w:rsidRDefault="0013098C">
      <w:pPr>
        <w:jc w:val="both"/>
        <w:rPr>
          <w:rFonts w:ascii="Times" w:hAnsi="Times"/>
          <w:snapToGrid w:val="0"/>
          <w:color w:val="000000"/>
          <w:sz w:val="22"/>
          <w:szCs w:val="22"/>
        </w:rPr>
      </w:pPr>
    </w:p>
    <w:p w14:paraId="10C524AA" w14:textId="571D0A35" w:rsidR="00F84107" w:rsidRDefault="0013098C" w:rsidP="0013098C">
      <w:pPr>
        <w:pBdr>
          <w:top w:val="single" w:sz="4" w:space="1" w:color="auto"/>
          <w:left w:val="single" w:sz="4" w:space="4" w:color="auto"/>
          <w:bottom w:val="single" w:sz="4" w:space="1" w:color="auto"/>
          <w:right w:val="single" w:sz="4" w:space="4" w:color="auto"/>
        </w:pBdr>
        <w:jc w:val="both"/>
        <w:rPr>
          <w:rFonts w:ascii="Times" w:hAnsi="Times"/>
          <w:snapToGrid w:val="0"/>
          <w:color w:val="000000"/>
          <w:sz w:val="22"/>
          <w:szCs w:val="22"/>
        </w:rPr>
      </w:pPr>
      <w:r w:rsidRPr="0013098C">
        <w:rPr>
          <w:rFonts w:ascii="Times" w:hAnsi="Times"/>
          <w:b/>
          <w:bCs/>
          <w:snapToGrid w:val="0"/>
          <w:color w:val="000000"/>
          <w:sz w:val="22"/>
          <w:szCs w:val="22"/>
        </w:rPr>
        <w:t>A noter</w:t>
      </w:r>
      <w:r>
        <w:rPr>
          <w:rFonts w:ascii="Times" w:hAnsi="Times"/>
          <w:snapToGrid w:val="0"/>
          <w:color w:val="000000"/>
          <w:sz w:val="22"/>
          <w:szCs w:val="22"/>
        </w:rPr>
        <w:t> :</w:t>
      </w:r>
      <w:r w:rsidR="00F84107">
        <w:rPr>
          <w:rFonts w:ascii="Times" w:hAnsi="Times"/>
          <w:snapToGrid w:val="0"/>
          <w:color w:val="000000"/>
          <w:sz w:val="22"/>
          <w:szCs w:val="22"/>
        </w:rPr>
        <w:t xml:space="preserve"> sur le site du Ministère « </w:t>
      </w:r>
      <w:r w:rsidR="00F84107" w:rsidRPr="00F84107">
        <w:rPr>
          <w:rFonts w:ascii="Times" w:hAnsi="Times"/>
          <w:snapToGrid w:val="0"/>
          <w:color w:val="000000"/>
          <w:sz w:val="22"/>
          <w:szCs w:val="22"/>
        </w:rPr>
        <w:t>La fouille de textes et de données à des fins de recherche : une pratique confirmée et désormais opérationnelle en droit français</w:t>
      </w:r>
      <w:r w:rsidR="00F84107">
        <w:rPr>
          <w:rFonts w:ascii="Times" w:hAnsi="Times"/>
          <w:snapToGrid w:val="0"/>
          <w:color w:val="000000"/>
          <w:sz w:val="22"/>
          <w:szCs w:val="22"/>
        </w:rPr>
        <w:t> »</w:t>
      </w:r>
    </w:p>
    <w:p w14:paraId="39C13FA0" w14:textId="36F675D6" w:rsidR="00F84107" w:rsidRDefault="00F84107" w:rsidP="0013098C">
      <w:pPr>
        <w:pBdr>
          <w:top w:val="single" w:sz="4" w:space="1" w:color="auto"/>
          <w:left w:val="single" w:sz="4" w:space="4" w:color="auto"/>
          <w:bottom w:val="single" w:sz="4" w:space="1" w:color="auto"/>
          <w:right w:val="single" w:sz="4" w:space="4" w:color="auto"/>
        </w:pBdr>
        <w:jc w:val="both"/>
        <w:rPr>
          <w:rFonts w:ascii="Times" w:hAnsi="Times"/>
          <w:snapToGrid w:val="0"/>
          <w:color w:val="000000"/>
          <w:sz w:val="22"/>
          <w:szCs w:val="22"/>
        </w:rPr>
      </w:pPr>
      <w:r w:rsidRPr="00F84107">
        <w:rPr>
          <w:rFonts w:ascii="Times" w:hAnsi="Times"/>
          <w:snapToGrid w:val="0"/>
          <w:color w:val="000000"/>
          <w:sz w:val="22"/>
          <w:szCs w:val="22"/>
        </w:rPr>
        <w:t xml:space="preserve"> </w:t>
      </w:r>
      <w:hyperlink r:id="rId8" w:history="1">
        <w:r w:rsidRPr="00AD5AEF">
          <w:rPr>
            <w:rStyle w:val="Lienhypertexte"/>
            <w:rFonts w:ascii="Times" w:hAnsi="Times"/>
            <w:snapToGrid w:val="0"/>
            <w:sz w:val="22"/>
            <w:szCs w:val="22"/>
          </w:rPr>
          <w:t>https://www.ouvrirlascience.fr/la-fouille-de-textes-et-de-donnees-a-des-fins-de-recherche-une-pratique-confirmee-et-desormais-operationnelle-en-droit-francais/</w:t>
        </w:r>
      </w:hyperlink>
    </w:p>
    <w:bookmarkEnd w:id="0"/>
    <w:p w14:paraId="61769138" w14:textId="77777777" w:rsidR="00F84107" w:rsidRDefault="00F84107">
      <w:pPr>
        <w:jc w:val="both"/>
        <w:rPr>
          <w:rFonts w:ascii="Times" w:hAnsi="Times"/>
          <w:snapToGrid w:val="0"/>
          <w:color w:val="000000"/>
          <w:sz w:val="22"/>
          <w:szCs w:val="22"/>
        </w:rPr>
      </w:pPr>
    </w:p>
    <w:p w14:paraId="3C42BC5E" w14:textId="6679FB13"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 </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4"/>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lastRenderedPageBreak/>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6715F9E5" w:rsidR="0035672A" w:rsidRPr="00CE06E7" w:rsidRDefault="00305334" w:rsidP="00A24BAC">
      <w:pPr>
        <w:pStyle w:val="Corpsdetexte2"/>
        <w:rPr>
          <w:color w:val="auto"/>
        </w:rPr>
      </w:pPr>
      <w:r w:rsidRPr="0006107A">
        <w:rPr>
          <w:rFonts w:ascii="Times" w:hAnsi="Times"/>
          <w:color w:val="auto"/>
          <w:szCs w:val="22"/>
        </w:rPr>
        <w:t xml:space="preserve">3.7. Vie privée : Le Concédant </w:t>
      </w:r>
      <w:r w:rsidR="009071C0" w:rsidRPr="0006107A">
        <w:rPr>
          <w:rFonts w:ascii="Times" w:hAnsi="Times"/>
          <w:color w:val="auto"/>
          <w:szCs w:val="22"/>
        </w:rPr>
        <w:t>s’engage à respecter les recommandations de la CNIL relatives à la protection des données personnelles</w:t>
      </w:r>
      <w:r w:rsidR="0035672A" w:rsidRPr="00CE06E7">
        <w:rPr>
          <w:rFonts w:ascii="Times" w:hAnsi="Times"/>
          <w:color w:val="auto"/>
          <w:szCs w:val="22"/>
        </w:rPr>
        <w:t xml:space="preserve"> et Le Règlement Général sur la Protection des Données</w:t>
      </w:r>
      <w:r w:rsidR="009D310E">
        <w:rPr>
          <w:rStyle w:val="Appelnotedebasdep"/>
          <w:rFonts w:ascii="Times" w:hAnsi="Times"/>
          <w:color w:val="auto"/>
          <w:szCs w:val="22"/>
        </w:rPr>
        <w:footnoteReference w:id="5"/>
      </w:r>
      <w:r w:rsidR="0035672A" w:rsidRPr="00CE06E7">
        <w:rPr>
          <w:rFonts w:ascii="Times" w:hAnsi="Times"/>
          <w:color w:val="auto"/>
          <w:szCs w:val="22"/>
        </w:rPr>
        <w:t xml:space="preserve"> (RGPD)</w:t>
      </w:r>
      <w:r w:rsidR="0035672A" w:rsidRPr="00CE06E7">
        <w:rPr>
          <w:color w:val="auto"/>
        </w:rPr>
        <w:t xml:space="preserve"> </w:t>
      </w:r>
    </w:p>
    <w:p w14:paraId="6ED38A8A" w14:textId="36806425" w:rsidR="0035672A" w:rsidRPr="0052104C" w:rsidRDefault="0035672A" w:rsidP="0035672A">
      <w:pPr>
        <w:jc w:val="both"/>
        <w:rPr>
          <w:color w:val="0070C0"/>
        </w:rPr>
      </w:pPr>
      <w:r w:rsidRPr="00CE06E7">
        <w:t>Nous rappelons notamment que Règlement (UE) 2016/679 du Parlement européen et du Conseil du 27 avril 2016,  prévoient dans son</w:t>
      </w:r>
      <w:r w:rsidR="0052104C" w:rsidRPr="00CE06E7">
        <w:t xml:space="preserve"> </w:t>
      </w:r>
      <w:r w:rsidRPr="00CE06E7">
        <w:t xml:space="preserve">art 5 « Les données à caractère personnel doivent être collectées pour des </w:t>
      </w:r>
      <w:r w:rsidRPr="00CE06E7">
        <w:rPr>
          <w:b/>
        </w:rPr>
        <w:t>finalités déterminées, explicites et légitimes</w:t>
      </w:r>
      <w:r w:rsidRPr="00CE06E7">
        <w:t>, et ne pas être traitées ultérieurement d'une manière incompatible avec ces finalités; »</w:t>
      </w:r>
      <w:r w:rsidR="006E779F" w:rsidRPr="00CE06E7">
        <w:t xml:space="preserve"> </w:t>
      </w:r>
      <w:r>
        <w:rPr>
          <w:color w:val="000000"/>
        </w:rPr>
        <w:t>et (art 46) qu’«</w:t>
      </w:r>
      <w:r>
        <w:rPr>
          <w:color w:val="808080"/>
        </w:rPr>
        <w:t> </w:t>
      </w:r>
      <w:r w:rsidRPr="00CE06E7">
        <w:t xml:space="preserve">En l'absence de décision en vertu de l'article 45, paragraphe 3, </w:t>
      </w:r>
      <w:r w:rsidRPr="00CE06E7">
        <w:rPr>
          <w:b/>
        </w:rPr>
        <w:t>le responsable du traitement ou le sous-traitant ne peut transférer des données à caractère personnel vers un pays tiers ou à une organisation internationale que s'il a prévu des garanties appropriée</w:t>
      </w:r>
      <w:r w:rsidRPr="00CE06E7">
        <w:t>s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0ECA3D56" w:rsidR="0035672A" w:rsidRDefault="00CE06E7" w:rsidP="00346CCA">
      <w:pPr>
        <w:jc w:val="both"/>
      </w:pPr>
      <w:r>
        <w:t>Les deux</w:t>
      </w:r>
      <w:r w:rsidR="00346CCA">
        <w:t xml:space="preserve"> </w:t>
      </w:r>
      <w:r>
        <w:t xml:space="preserve">parties se conformeront </w:t>
      </w:r>
      <w:proofErr w:type="gramStart"/>
      <w:r>
        <w:t>à</w:t>
      </w:r>
      <w:r w:rsidR="00346CCA">
        <w:t xml:space="preserve">  toutes</w:t>
      </w:r>
      <w:proofErr w:type="gramEnd"/>
      <w:r w:rsidR="00346CCA">
        <w:t xml:space="preserve">  les  exigences  de  la Législation  sur la  Protection  des  Données applicables  à leur rôle de Sous-traitant  ou de Responsable du Traitement,  selon  le cas. Le présent Avenant s’ajoute aux obligations d’une partie en vertu </w:t>
      </w:r>
      <w:r>
        <w:t>de la Législation sur la Protection des Données et ne</w:t>
      </w:r>
      <w:r w:rsidR="00346CCA">
        <w:t xml:space="preserv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2A74FDB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06107A" w:rsidRDefault="00A24BAC">
      <w:pPr>
        <w:jc w:val="both"/>
        <w:rPr>
          <w:rFonts w:ascii="Times" w:hAnsi="Times"/>
          <w:snapToGrid w:val="0"/>
          <w:color w:val="000000"/>
          <w:sz w:val="22"/>
          <w:szCs w:val="22"/>
        </w:rPr>
      </w:pPr>
    </w:p>
    <w:p w14:paraId="081638C9" w14:textId="7783EC36"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4.3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sidR="00575F93">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(c</w:t>
      </w:r>
      <w:r w:rsidR="000E13A9">
        <w:rPr>
          <w:rFonts w:ascii="Times" w:hAnsi="Times"/>
          <w:snapToGrid w:val="0"/>
          <w:color w:val="000000"/>
          <w:sz w:val="22"/>
          <w:szCs w:val="22"/>
        </w:rPr>
        <w:t>’est</w:t>
      </w:r>
      <w:r w:rsidRPr="0006107A">
        <w:rPr>
          <w:rFonts w:ascii="Times" w:hAnsi="Times"/>
          <w:snapToGrid w:val="0"/>
          <w:color w:val="000000"/>
          <w:sz w:val="22"/>
          <w:szCs w:val="22"/>
        </w:rPr>
        <w:t>-à-d</w:t>
      </w:r>
      <w:r w:rsidR="000E13A9">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4913F7AE" w:rsidR="00A24BAC" w:rsidRPr="0006107A" w:rsidRDefault="00A24BAC">
      <w:pPr>
        <w:jc w:val="both"/>
        <w:rPr>
          <w:rFonts w:ascii="Times" w:hAnsi="Times"/>
          <w:snapToGrid w:val="0"/>
          <w:sz w:val="22"/>
          <w:szCs w:val="22"/>
        </w:rPr>
      </w:pPr>
      <w:r w:rsidRPr="0006107A">
        <w:rPr>
          <w:rFonts w:ascii="Times" w:hAnsi="Times"/>
          <w:snapToGrid w:val="0"/>
          <w:color w:val="000000"/>
          <w:sz w:val="22"/>
          <w:szCs w:val="22"/>
        </w:rPr>
        <w:t xml:space="preserve">4.4 </w:t>
      </w:r>
      <w:r w:rsidRPr="0006107A">
        <w:rPr>
          <w:rFonts w:ascii="Times" w:hAnsi="Times"/>
          <w:snapToGrid w:val="0"/>
          <w:sz w:val="22"/>
          <w:szCs w:val="22"/>
        </w:rPr>
        <w:t xml:space="preserve">Dans l’éventualité où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à la partie des Éléments sous Licence souscrits, publiée pendant </w:t>
      </w:r>
      <w:r w:rsidRPr="006A05CE">
        <w:rPr>
          <w:rFonts w:ascii="Times" w:hAnsi="Times"/>
          <w:snapToGrid w:val="0"/>
          <w:sz w:val="22"/>
          <w:szCs w:val="22"/>
        </w:rPr>
        <w:t>l’(les) année(s) d’abonnement</w:t>
      </w:r>
      <w:r w:rsidRPr="0006107A">
        <w:rPr>
          <w:rFonts w:ascii="Times" w:hAnsi="Times"/>
          <w:snapToGrid w:val="0"/>
          <w:sz w:val="22"/>
          <w:szCs w:val="22"/>
        </w:rPr>
        <w:t xml:space="preserve">, pendant </w:t>
      </w:r>
      <w:r w:rsidR="006A05CE">
        <w:rPr>
          <w:rFonts w:ascii="Times" w:hAnsi="Times"/>
          <w:snapToGrid w:val="0"/>
          <w:sz w:val="22"/>
          <w:szCs w:val="22"/>
        </w:rPr>
        <w:t>[</w:t>
      </w:r>
      <w:r w:rsidR="00F772E4">
        <w:rPr>
          <w:rFonts w:ascii="Times" w:hAnsi="Times"/>
          <w:snapToGrid w:val="0"/>
          <w:sz w:val="22"/>
          <w:szCs w:val="22"/>
        </w:rPr>
        <w:t>X</w:t>
      </w:r>
      <w:r w:rsidR="006A05CE">
        <w:rPr>
          <w:rFonts w:ascii="Times" w:hAnsi="Times"/>
          <w:snapToGrid w:val="0"/>
          <w:sz w:val="22"/>
          <w:szCs w:val="22"/>
        </w:rPr>
        <w:t>]</w:t>
      </w:r>
      <w:r w:rsidR="00F772E4">
        <w:rPr>
          <w:rFonts w:ascii="Times" w:hAnsi="Times"/>
          <w:snapToGrid w:val="0"/>
          <w:sz w:val="22"/>
          <w:szCs w:val="22"/>
        </w:rPr>
        <w:t xml:space="preserve"> </w:t>
      </w:r>
      <w:r w:rsidRPr="0006107A">
        <w:rPr>
          <w:rFonts w:ascii="Times" w:hAnsi="Times"/>
          <w:snapToGrid w:val="0"/>
          <w:sz w:val="22"/>
          <w:szCs w:val="22"/>
        </w:rPr>
        <w:t>années de plus sans frais supplémentaires. Le Concédant fournira une copie numérique d’archive sur un support de stockage numérique dont il sera convenu de gré à gr</w:t>
      </w:r>
      <w:r w:rsidR="000B206B">
        <w:rPr>
          <w:rFonts w:ascii="Times" w:hAnsi="Times"/>
          <w:snapToGrid w:val="0"/>
          <w:sz w:val="22"/>
          <w:szCs w:val="22"/>
        </w:rPr>
        <w:t xml:space="preserve">é. </w:t>
      </w:r>
      <w:r w:rsidRPr="0006107A">
        <w:rPr>
          <w:rFonts w:ascii="Times" w:hAnsi="Times"/>
          <w:snapToGrid w:val="0"/>
          <w:sz w:val="22"/>
          <w:szCs w:val="22"/>
        </w:rPr>
        <w:t xml:space="preserve">L’accès continu pour les </w:t>
      </w:r>
      <w:r w:rsidR="00575F93">
        <w:rPr>
          <w:rFonts w:ascii="Times" w:hAnsi="Times"/>
          <w:snapToGrid w:val="0"/>
          <w:sz w:val="22"/>
          <w:szCs w:val="22"/>
        </w:rPr>
        <w:t>contrat</w:t>
      </w:r>
      <w:r w:rsidRPr="0006107A">
        <w:rPr>
          <w:rFonts w:ascii="Times" w:hAnsi="Times"/>
          <w:snapToGrid w:val="0"/>
          <w:sz w:val="22"/>
          <w:szCs w:val="22"/>
        </w:rPr>
        <w:t xml:space="preserve">s exclusivement électroniques ne faisant état précédemment d’aucun fonds papier sera négocié cas par cas. Les dispositions qui précèdent s’appliquent tant que </w:t>
      </w:r>
      <w:r w:rsidRPr="0006107A">
        <w:rPr>
          <w:rFonts w:ascii="Times" w:hAnsi="Times"/>
          <w:snapToGrid w:val="0"/>
          <w:color w:val="000000"/>
          <w:sz w:val="22"/>
          <w:szCs w:val="22"/>
        </w:rPr>
        <w:lastRenderedPageBreak/>
        <w:t>[</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0805681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4.5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39B7A50A" w:rsidR="00A24BAC" w:rsidRPr="0006107A" w:rsidRDefault="00A24BAC">
      <w:pPr>
        <w:jc w:val="both"/>
        <w:rPr>
          <w:rFonts w:ascii="Times" w:hAnsi="Times"/>
          <w:sz w:val="22"/>
          <w:szCs w:val="22"/>
        </w:rPr>
      </w:pPr>
      <w:r w:rsidRPr="0006107A">
        <w:rPr>
          <w:rFonts w:ascii="Times" w:hAnsi="Times"/>
          <w:sz w:val="22"/>
          <w:szCs w:val="22"/>
        </w:rPr>
        <w:t xml:space="preserve">4.6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DFD1B72" w:rsidR="00A24BAC" w:rsidRPr="008F6F6B" w:rsidRDefault="00A24BAC">
      <w:pPr>
        <w:jc w:val="both"/>
        <w:rPr>
          <w:rFonts w:ascii="Times" w:hAnsi="Times"/>
          <w:strike/>
          <w:snapToGrid w:val="0"/>
          <w:sz w:val="22"/>
          <w:szCs w:val="22"/>
        </w:rPr>
      </w:pPr>
      <w:r w:rsidRPr="0006107A">
        <w:rPr>
          <w:rFonts w:ascii="Times" w:hAnsi="Times"/>
          <w:snapToGrid w:val="0"/>
          <w:sz w:val="22"/>
          <w:szCs w:val="22"/>
        </w:rPr>
        <w:lastRenderedPageBreak/>
        <w:t xml:space="preserve">6.2 Le Concédant fera de son mieux pour assurer </w:t>
      </w:r>
      <w:r w:rsidRPr="0006107A">
        <w:rPr>
          <w:rFonts w:ascii="Times" w:hAnsi="Times"/>
          <w:snapToGrid w:val="0"/>
          <w:color w:val="000000"/>
          <w:sz w:val="22"/>
          <w:szCs w:val="22"/>
        </w:rPr>
        <w:t>[</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CE06E7">
        <w:rPr>
          <w:rFonts w:ascii="Times" w:hAnsi="Times"/>
          <w:snapToGrid w:val="0"/>
          <w:color w:val="FF0000"/>
          <w:sz w:val="22"/>
          <w:szCs w:val="22"/>
        </w:rPr>
        <w:t xml:space="preserve">. </w:t>
      </w:r>
      <w:r w:rsidR="00334ED9" w:rsidRPr="008F6F6B">
        <w:rPr>
          <w:rFonts w:cstheme="minorHAnsi"/>
          <w:sz w:val="24"/>
        </w:rPr>
        <w:t xml:space="preserve">Le Concédant garantit </w:t>
      </w:r>
      <w:r w:rsidR="00CE06E7" w:rsidRPr="008F6F6B">
        <w:rPr>
          <w:rFonts w:cstheme="minorHAnsi"/>
          <w:sz w:val="24"/>
        </w:rPr>
        <w:t>un temps</w:t>
      </w:r>
      <w:r w:rsidR="00334ED9" w:rsidRPr="008F6F6B">
        <w:rPr>
          <w:rFonts w:cstheme="minorHAnsi"/>
          <w:sz w:val="24"/>
        </w:rPr>
        <w:t xml:space="preserve"> moyen de fonctionnement de 98 % par an, les 2 % restant comprenant les travaux de maintenance et de réparation se déroulant à des heures causant le moins de désagrément possible aux Abonnés.</w:t>
      </w:r>
    </w:p>
    <w:p w14:paraId="0E149CBF" w14:textId="56233A55" w:rsidR="00A24BAC" w:rsidRPr="008F6F6B" w:rsidRDefault="00334ED9">
      <w:pPr>
        <w:jc w:val="both"/>
        <w:rPr>
          <w:rFonts w:cstheme="minorHAnsi"/>
          <w:sz w:val="24"/>
        </w:rPr>
      </w:pPr>
      <w:r w:rsidRPr="008F6F6B">
        <w:rPr>
          <w:rFonts w:cstheme="minorHAnsi"/>
          <w:sz w:val="24"/>
        </w:rPr>
        <w:t xml:space="preserve">Le non-respect de la garantie de fonctionnement visée au paragraphe ci-dessus pendant </w:t>
      </w:r>
      <w:r w:rsidRPr="008F6F6B">
        <w:rPr>
          <w:rFonts w:cstheme="minorHAnsi"/>
          <w:b/>
          <w:bCs/>
          <w:sz w:val="24"/>
        </w:rPr>
        <w:t>une période continue supérieure à soixante-douze (72) heures consécutives, ou une période supérieure à 8 jours cumulés par an,</w:t>
      </w:r>
      <w:r w:rsidRPr="008F6F6B">
        <w:rPr>
          <w:rFonts w:cstheme="minorHAnsi"/>
          <w:sz w:val="24"/>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1F758D37" w14:textId="71BD779B" w:rsidR="00CE06E7" w:rsidRPr="008F6F6B" w:rsidRDefault="00CE06E7" w:rsidP="00CE06E7">
      <w:pPr>
        <w:keepNext/>
        <w:rPr>
          <w:rFonts w:cstheme="minorHAnsi"/>
          <w:sz w:val="24"/>
        </w:rPr>
      </w:pPr>
      <w:r w:rsidRPr="008F6F6B">
        <w:rPr>
          <w:rFonts w:cstheme="minorHAnsi"/>
          <w:sz w:val="24"/>
        </w:rPr>
        <w:t xml:space="preserve">Le montant de la pénalité est calculé par application de la formule suivante : </w:t>
      </w:r>
      <w:r w:rsidRPr="008F6F6B">
        <w:rPr>
          <w:rFonts w:asciiTheme="minorHAnsi" w:hAnsiTheme="minorHAnsi" w:cstheme="minorHAnsi"/>
          <w:sz w:val="24"/>
        </w:rPr>
        <w:t>P = R * M / 365</w:t>
      </w:r>
    </w:p>
    <w:p w14:paraId="2553F29E" w14:textId="057126A7" w:rsidR="00CE06E7" w:rsidRPr="008F6F6B" w:rsidRDefault="00CE06E7" w:rsidP="00CE06E7">
      <w:pPr>
        <w:ind w:right="-1"/>
        <w:rPr>
          <w:rFonts w:cstheme="minorHAnsi"/>
          <w:sz w:val="24"/>
        </w:rPr>
      </w:pPr>
      <w:r w:rsidRPr="008F6F6B">
        <w:rPr>
          <w:rFonts w:cstheme="minorHAnsi"/>
          <w:sz w:val="24"/>
        </w:rPr>
        <w:t>P = le montant de la pénalité en euros, R = nombre de jours de défaut d’accès continu aux Abonnements à compter 4</w:t>
      </w:r>
      <w:r w:rsidRPr="008F6F6B">
        <w:rPr>
          <w:rFonts w:cstheme="minorHAnsi"/>
          <w:sz w:val="24"/>
          <w:vertAlign w:val="superscript"/>
        </w:rPr>
        <w:t>ème</w:t>
      </w:r>
      <w:r w:rsidRPr="008F6F6B">
        <w:rPr>
          <w:rFonts w:cstheme="minorHAnsi"/>
          <w:sz w:val="24"/>
        </w:rPr>
        <w:t xml:space="preserve"> jour de défaut d’accès continu ou du 9eme </w:t>
      </w:r>
      <w:proofErr w:type="gramStart"/>
      <w:r w:rsidRPr="008F6F6B">
        <w:rPr>
          <w:rFonts w:cstheme="minorHAnsi"/>
          <w:sz w:val="24"/>
        </w:rPr>
        <w:t xml:space="preserve">jour  </w:t>
      </w:r>
      <w:proofErr w:type="spellStart"/>
      <w:r w:rsidRPr="008F6F6B">
        <w:rPr>
          <w:rFonts w:cstheme="minorHAnsi"/>
          <w:sz w:val="24"/>
        </w:rPr>
        <w:t>cumumlé</w:t>
      </w:r>
      <w:proofErr w:type="spellEnd"/>
      <w:proofErr w:type="gramEnd"/>
      <w:r w:rsidRPr="008F6F6B">
        <w:rPr>
          <w:rFonts w:cstheme="minorHAnsi"/>
          <w:sz w:val="24"/>
        </w:rPr>
        <w:t xml:space="preserve"> dans l’année.</w:t>
      </w:r>
    </w:p>
    <w:p w14:paraId="208F4DCD" w14:textId="03C20E46" w:rsidR="00CE06E7" w:rsidRPr="008F6F6B" w:rsidRDefault="00CE06E7" w:rsidP="00CE06E7">
      <w:pPr>
        <w:ind w:right="-1"/>
        <w:rPr>
          <w:rFonts w:cstheme="minorHAnsi"/>
          <w:sz w:val="24"/>
        </w:rPr>
      </w:pPr>
      <w:r w:rsidRPr="008F6F6B">
        <w:rPr>
          <w:rFonts w:cstheme="minorHAnsi"/>
          <w:sz w:val="24"/>
        </w:rPr>
        <w:t>M = montant annuel dû par l’Abonné. Le montant pris en compte est celui de l’année durant laquelle est constaté le défaut d’accès.</w:t>
      </w:r>
    </w:p>
    <w:p w14:paraId="2168D96F" w14:textId="77777777" w:rsidR="00334ED9" w:rsidRPr="008F6F6B" w:rsidRDefault="00334ED9">
      <w:pPr>
        <w:jc w:val="both"/>
        <w:rPr>
          <w:rFonts w:cstheme="minorHAnsi"/>
          <w:sz w:val="24"/>
        </w:rPr>
      </w:pPr>
    </w:p>
    <w:p w14:paraId="36DD2212" w14:textId="645788FC" w:rsidR="00334ED9" w:rsidRPr="008F6F6B" w:rsidRDefault="00334ED9" w:rsidP="00334ED9">
      <w:pPr>
        <w:ind w:right="-1"/>
        <w:rPr>
          <w:rFonts w:cstheme="minorHAnsi"/>
          <w:sz w:val="24"/>
        </w:rPr>
      </w:pPr>
      <w:r w:rsidRPr="008F6F6B">
        <w:rPr>
          <w:rFonts w:cstheme="minorHAnsi"/>
          <w:sz w:val="24"/>
        </w:rPr>
        <w:t xml:space="preserve">Nonobstant ce qui précède, le Concédant ne sera pas responsable de toute interruption  de l’accès aux Abonnements si cette interruption résulte </w:t>
      </w:r>
      <w:bookmarkStart w:id="1" w:name="_Hlk63278718"/>
      <w:r w:rsidRPr="008F6F6B">
        <w:rPr>
          <w:rFonts w:cstheme="minorHAnsi"/>
          <w:sz w:val="24"/>
        </w:rPr>
        <w:t>de (i)</w:t>
      </w:r>
      <w:bookmarkEnd w:id="1"/>
      <w:r w:rsidRPr="008F6F6B">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334ED9" w:rsidRDefault="00334ED9">
      <w:pPr>
        <w:jc w:val="both"/>
        <w:rPr>
          <w:rFonts w:cstheme="minorHAnsi"/>
          <w:color w:val="0070C0"/>
          <w:sz w:val="24"/>
        </w:rPr>
      </w:pPr>
    </w:p>
    <w:p w14:paraId="13E27792" w14:textId="77777777" w:rsidR="00C203BE" w:rsidRPr="0006107A" w:rsidRDefault="00C203BE">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7777777"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278F5B46" w:rsidR="00A24BAC" w:rsidRPr="00CC3A28" w:rsidRDefault="00A24BAC">
      <w:pPr>
        <w:pStyle w:val="Commentaire"/>
        <w:jc w:val="both"/>
        <w:rPr>
          <w:rFonts w:ascii="Times" w:hAnsi="Times"/>
          <w:bCs/>
          <w:sz w:val="22"/>
          <w:szCs w:val="22"/>
        </w:rPr>
      </w:pPr>
      <w:r w:rsidRPr="00CC3A28">
        <w:rPr>
          <w:rFonts w:ascii="Times" w:hAnsi="Times"/>
          <w:bCs/>
          <w:sz w:val="22"/>
          <w:szCs w:val="22"/>
        </w:rPr>
        <w:lastRenderedPageBreak/>
        <w:t xml:space="preserve">6.9 Le Concédant </w:t>
      </w:r>
      <w:r w:rsidR="00427FE0" w:rsidRPr="00CC3A28">
        <w:rPr>
          <w:rFonts w:ascii="Times" w:hAnsi="Times"/>
          <w:bCs/>
          <w:sz w:val="22"/>
          <w:szCs w:val="22"/>
        </w:rPr>
        <w:t xml:space="preserve">est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6"/>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309020E6"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706CA00C" w14:textId="371AFF3A" w:rsidR="00A24BAC" w:rsidRDefault="00A24BAC" w:rsidP="00245D92">
      <w:pPr>
        <w:rPr>
          <w:rFonts w:ascii="Times" w:hAnsi="Times"/>
          <w:color w:val="FF0000"/>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6DC1E89A" w14:textId="77777777" w:rsidR="00DA055B" w:rsidRPr="00CE06E7" w:rsidRDefault="00DA055B" w:rsidP="00644ABC">
      <w:pPr>
        <w:rPr>
          <w:rFonts w:ascii="Times" w:hAnsi="Times"/>
          <w:color w:val="76923C" w:themeColor="accent3" w:themeShade="BF"/>
          <w:sz w:val="22"/>
          <w:szCs w:val="22"/>
        </w:rPr>
      </w:pPr>
    </w:p>
    <w:p w14:paraId="430546F1" w14:textId="07632507" w:rsidR="00DA055B" w:rsidRPr="00CE06E7" w:rsidRDefault="001A6D85" w:rsidP="001E371B">
      <w:pPr>
        <w:rPr>
          <w:rFonts w:ascii="Times" w:hAnsi="Times" w:cs="Calibri"/>
        </w:rPr>
      </w:pPr>
      <w:r w:rsidRPr="00CE06E7">
        <w:rPr>
          <w:rFonts w:ascii="Times" w:hAnsi="Times"/>
          <w:snapToGrid w:val="0"/>
        </w:rPr>
        <w:t>6.12</w:t>
      </w:r>
      <w:r w:rsidR="00DA055B" w:rsidRPr="00CE06E7">
        <w:rPr>
          <w:rFonts w:ascii="Times" w:hAnsi="Times"/>
          <w:snapToGrid w:val="0"/>
        </w:rPr>
        <w:t xml:space="preserve"> </w:t>
      </w:r>
      <w:r w:rsidRPr="00CE06E7">
        <w:rPr>
          <w:rFonts w:ascii="Times" w:hAnsi="Times"/>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CE06E7">
        <w:rPr>
          <w:rFonts w:ascii="Times" w:hAnsi="Times"/>
        </w:rPr>
        <w:t xml:space="preserve"> / </w:t>
      </w:r>
      <w:r w:rsidR="00A91C23" w:rsidRPr="00CE06E7">
        <w:rPr>
          <w:rFonts w:ascii="Times" w:hAnsi="Times" w:cs="Calibri"/>
        </w:rPr>
        <w:t>NISO RP-9-2014 </w:t>
      </w:r>
      <w:r w:rsidR="00A91C23" w:rsidRPr="00CE06E7">
        <w:rPr>
          <w:rFonts w:ascii="Times" w:hAnsi="Times"/>
        </w:rPr>
        <w:t xml:space="preserve"> </w:t>
      </w:r>
      <w:r w:rsidRPr="00CE06E7">
        <w:rPr>
          <w:rStyle w:val="Appelnotedebasdep"/>
          <w:rFonts w:ascii="Times" w:hAnsi="Times"/>
          <w:sz w:val="22"/>
          <w:szCs w:val="22"/>
        </w:rPr>
        <w:footnoteReference w:id="7"/>
      </w:r>
      <w:r w:rsidR="001356CA" w:rsidRPr="00CE06E7">
        <w:rPr>
          <w:rFonts w:ascii="Times" w:hAnsi="Times" w:cs="Calibri"/>
        </w:rPr>
        <w:t xml:space="preserve"> pour les revues et e-books, correspondant à la norme NISO RP-9-2014</w:t>
      </w:r>
      <w:r w:rsidRPr="00CE06E7">
        <w:rPr>
          <w:rFonts w:ascii="Times" w:hAnsi="Times"/>
        </w:rPr>
        <w:t>.</w:t>
      </w:r>
      <w:r w:rsidR="001356CA" w:rsidRPr="00CE06E7">
        <w:rPr>
          <w:rFonts w:ascii="Times" w:hAnsi="Times" w:cs="Calibri"/>
        </w:rPr>
        <w:t xml:space="preserve"> Format MARC pour les notices relatives aux titres d’e-books. Les notices devront inclure l’intégralité des informations bibliographiques disponibles ; les caractères doivent utiliser le codage UTF8</w:t>
      </w:r>
      <w:r w:rsidR="00DA055B" w:rsidRPr="00CE06E7">
        <w:rPr>
          <w:rFonts w:ascii="Times" w:hAnsi="Times" w:cs="Calibri"/>
        </w:rPr>
        <w:t>.</w:t>
      </w:r>
    </w:p>
    <w:p w14:paraId="0094E5A8" w14:textId="1ED892C2" w:rsidR="00DA055B" w:rsidRPr="00CE06E7" w:rsidRDefault="001356CA" w:rsidP="001E371B">
      <w:pPr>
        <w:rPr>
          <w:rFonts w:ascii="Times" w:hAnsi="Times"/>
        </w:rPr>
      </w:pPr>
      <w:r w:rsidRPr="00CE06E7">
        <w:rPr>
          <w:rFonts w:ascii="Times" w:hAnsi="Times"/>
        </w:rPr>
        <w:t>Le Concédant s’engage à fournir aux bénéficiaires la documentation afférente aux métadonnées.</w:t>
      </w:r>
    </w:p>
    <w:p w14:paraId="6B3B0EF5" w14:textId="7582E887" w:rsidR="00DA055B" w:rsidRPr="00CE06E7" w:rsidRDefault="001356CA" w:rsidP="001E371B">
      <w:pPr>
        <w:rPr>
          <w:rFonts w:ascii="Times" w:hAnsi="Times"/>
        </w:rPr>
      </w:pPr>
      <w:r w:rsidRPr="00CE06E7">
        <w:rPr>
          <w:rFonts w:ascii="Times" w:hAnsi="Times"/>
        </w:rPr>
        <w:t>Le Concédant concède aux bénéficiaires le droit de modifier le format des Métadonnées et de les enrichir par ajout de contenus ou de liens.</w:t>
      </w:r>
      <w:r w:rsidR="00644ABC" w:rsidRPr="00CE06E7">
        <w:rPr>
          <w:rFonts w:ascii="Times" w:eastAsiaTheme="minorHAnsi" w:hAnsi="Times"/>
          <w:sz w:val="22"/>
          <w:szCs w:val="22"/>
          <w:lang w:eastAsia="en-US"/>
        </w:rPr>
        <w:t xml:space="preserve"> </w:t>
      </w:r>
      <w:r w:rsidR="00644ABC" w:rsidRPr="00CE06E7">
        <w:rPr>
          <w:rFonts w:ascii="Times" w:hAnsi="Times"/>
        </w:rPr>
        <w:t>Les métadonnées pourront</w:t>
      </w:r>
      <w:r w:rsidR="00DA055B" w:rsidRPr="00CE06E7">
        <w:rPr>
          <w:rFonts w:ascii="Times" w:hAnsi="Times"/>
        </w:rPr>
        <w:t xml:space="preserve"> donc</w:t>
      </w:r>
      <w:r w:rsidR="00644ABC" w:rsidRPr="00CE06E7">
        <w:rPr>
          <w:rFonts w:ascii="Times" w:hAnsi="Times"/>
        </w:rPr>
        <w:t xml:space="preserve"> être intégrées à l’ensemble des catalogues collectifs (à titre d’exemple le SUDOC et WorldCat) et à la base de connaissance nationale BACON</w:t>
      </w:r>
    </w:p>
    <w:p w14:paraId="039DD53C" w14:textId="70B6ECC2" w:rsidR="001356CA" w:rsidRPr="00CE06E7" w:rsidRDefault="001356CA" w:rsidP="001E371B">
      <w:pPr>
        <w:rPr>
          <w:rFonts w:ascii="Times" w:hAnsi="Times"/>
        </w:rPr>
      </w:pPr>
      <w:r w:rsidRPr="00CE06E7">
        <w:rPr>
          <w:rFonts w:ascii="Times" w:hAnsi="Times"/>
        </w:rPr>
        <w:t>Le Concédant s’engage à s’assurer qu’une adresse URL pérenne soit attribuée pour chaque Titre de la Base de données.</w:t>
      </w:r>
    </w:p>
    <w:p w14:paraId="324E0D1E" w14:textId="5F7846C3" w:rsidR="001A6D85"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7A1A9A24"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7F8C42C" w:rsidR="00A24BAC" w:rsidRPr="00CC3A28" w:rsidRDefault="00A24BAC">
      <w:pPr>
        <w:jc w:val="both"/>
        <w:rPr>
          <w:rFonts w:ascii="Times" w:hAnsi="Times"/>
          <w:snapToGrid w:val="0"/>
          <w:color w:val="000000"/>
          <w:sz w:val="22"/>
          <w:szCs w:val="22"/>
        </w:rPr>
      </w:pPr>
      <w:proofErr w:type="gramStart"/>
      <w:r w:rsidRPr="00CC3A28">
        <w:rPr>
          <w:rFonts w:ascii="Times" w:hAnsi="Times"/>
          <w:snapToGrid w:val="0"/>
          <w:color w:val="000000"/>
          <w:sz w:val="22"/>
          <w:szCs w:val="22"/>
        </w:rPr>
        <w:t>7.0.4  S’il</w:t>
      </w:r>
      <w:proofErr w:type="gramEnd"/>
      <w:r w:rsidRPr="00CC3A28">
        <w:rPr>
          <w:rFonts w:ascii="Times" w:hAnsi="Times"/>
          <w:snapToGrid w:val="0"/>
          <w:color w:val="000000"/>
          <w:sz w:val="22"/>
          <w:szCs w:val="22"/>
        </w:rPr>
        <w:t xml:space="preserve">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F7B44F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r w:rsidRPr="00CC3A28">
        <w:rPr>
          <w:rFonts w:ascii="Times" w:hAnsi="Times"/>
          <w:snapToGrid w:val="0"/>
          <w:color w:val="000000"/>
          <w:sz w:val="22"/>
          <w:szCs w:val="22"/>
        </w:rPr>
        <w:t xml:space="preserve"> .</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lastRenderedPageBreak/>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414DF478"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70A5B49D"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9.4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éDITEUR ou du diffuseur</w:t>
      </w:r>
      <w:r w:rsidRPr="002D7EC2">
        <w:rPr>
          <w:rFonts w:ascii="Times" w:hAnsi="Times"/>
          <w:snapToGrid w:val="0"/>
          <w:color w:val="000000"/>
          <w:sz w:val="22"/>
          <w:szCs w:val="22"/>
        </w:rPr>
        <w:t>]</w:t>
      </w:r>
    </w:p>
    <w:p w14:paraId="5062CAA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éditeur ou du diffuseur</w:t>
      </w:r>
      <w:r w:rsidRPr="002D7EC2">
        <w:rPr>
          <w:rFonts w:ascii="Times" w:hAnsi="Times"/>
          <w:snapToGrid w:val="0"/>
          <w:color w:val="000000"/>
          <w:sz w:val="22"/>
          <w:szCs w:val="22"/>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 :</w:t>
      </w:r>
      <w:r w:rsidRPr="002D7EC2">
        <w:rPr>
          <w:rFonts w:ascii="Times" w:hAnsi="Times"/>
          <w:snapToGrid w:val="0"/>
          <w:sz w:val="22"/>
          <w:szCs w:val="22"/>
        </w:rPr>
        <w:t>_______________________________________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0BE862B6"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w:t>
      </w:r>
      <w:proofErr w:type="spellStart"/>
      <w:r w:rsidRPr="002D7EC2">
        <w:rPr>
          <w:rFonts w:ascii="Times" w:hAnsi="Times"/>
          <w:color w:val="auto"/>
          <w:szCs w:val="22"/>
        </w:rPr>
        <w:t>ci après</w:t>
      </w:r>
      <w:proofErr w:type="spellEnd"/>
      <w:r w:rsidRPr="002D7EC2">
        <w:rPr>
          <w:rFonts w:ascii="Times" w:hAnsi="Times"/>
          <w:color w:val="auto"/>
          <w:szCs w:val="22"/>
        </w:rPr>
        <w:t xml:space="preserve">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5607A3E0"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660AF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77777777" w:rsidR="00A24BAC" w:rsidRPr="002D7EC2" w:rsidRDefault="00A24BAC">
      <w:pPr>
        <w:jc w:val="both"/>
        <w:rPr>
          <w:rFonts w:ascii="Times" w:hAnsi="Times"/>
          <w:sz w:val="22"/>
          <w:szCs w:val="22"/>
        </w:rPr>
      </w:pPr>
      <w:r w:rsidRPr="002D7EC2">
        <w:rPr>
          <w:rFonts w:ascii="Times" w:hAnsi="Times"/>
          <w:sz w:val="22"/>
          <w:szCs w:val="22"/>
        </w:rPr>
        <w:t>L’augmentation annuelle maximum est de [</w:t>
      </w:r>
      <w:r w:rsidRPr="005F7CEB">
        <w:rPr>
          <w:rFonts w:ascii="Times" w:hAnsi="Times"/>
          <w:sz w:val="22"/>
          <w:szCs w:val="22"/>
        </w:rPr>
        <w:t>X</w:t>
      </w:r>
      <w:r w:rsidRPr="002D7EC2">
        <w:rPr>
          <w:rFonts w:ascii="Times" w:hAnsi="Times"/>
          <w:sz w:val="22"/>
          <w:szCs w:val="22"/>
        </w:rPr>
        <w:t xml:space="preserve">] % pour le papier et l’électronique. Cette augmentation sera calculée </w:t>
      </w:r>
      <w:r w:rsidRPr="005F7CEB">
        <w:rPr>
          <w:rFonts w:ascii="Times" w:hAnsi="Times"/>
          <w:sz w:val="22"/>
          <w:szCs w:val="22"/>
        </w:rPr>
        <w:t>[…]</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acquiert les droits d’archives pour l’ensemble des Eléments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lastRenderedPageBreak/>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Les établissements qui passent au tout électronique bénéficient d’une remise tarifaire de [</w:t>
      </w:r>
      <w:r w:rsidRPr="005F7CEB">
        <w:rPr>
          <w:rFonts w:ascii="Times" w:hAnsi="Times"/>
          <w:snapToGrid w:val="0"/>
          <w:sz w:val="22"/>
          <w:szCs w:val="22"/>
        </w:rPr>
        <w:t>X</w:t>
      </w:r>
      <w:r w:rsidRPr="002D7EC2">
        <w:rPr>
          <w:rFonts w:ascii="Times" w:hAnsi="Times"/>
          <w:snapToGrid w:val="0"/>
          <w:sz w:val="22"/>
          <w:szCs w:val="22"/>
        </w:rPr>
        <w:t>] % pour l’achat des revues papier auxquels ils étaient précédemment abonnés.</w:t>
      </w:r>
    </w:p>
    <w:p w14:paraId="2A6403CC" w14:textId="77777777" w:rsidR="00A24BAC" w:rsidRPr="002D7EC2" w:rsidRDefault="00A24BAC">
      <w:pPr>
        <w:pStyle w:val="Corpsdetexte3"/>
        <w:rPr>
          <w:rFonts w:ascii="Times" w:hAnsi="Times"/>
          <w:i w:val="0"/>
          <w:color w:val="auto"/>
          <w:szCs w:val="22"/>
        </w:rPr>
      </w:pPr>
      <w:r w:rsidRPr="002D7EC2">
        <w:rPr>
          <w:rFonts w:ascii="Times" w:hAnsi="Times"/>
          <w:i w:val="0"/>
          <w:color w:val="auto"/>
          <w:szCs w:val="22"/>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§1 - </w:t>
      </w:r>
      <w:proofErr w:type="gramStart"/>
      <w:r w:rsidRPr="00841D58">
        <w:rPr>
          <w:rFonts w:ascii="Times" w:hAnsi="Times"/>
          <w:snapToGrid w:val="0"/>
          <w:sz w:val="22"/>
          <w:szCs w:val="22"/>
        </w:rPr>
        <w:t>Un  droit</w:t>
      </w:r>
      <w:proofErr w:type="gramEnd"/>
      <w:r w:rsidRPr="00841D58">
        <w:rPr>
          <w:rFonts w:ascii="Times" w:hAnsi="Times"/>
          <w:snapToGrid w:val="0"/>
          <w:sz w:val="22"/>
          <w:szCs w:val="22"/>
        </w:rPr>
        <w:t xml:space="preserve">  d'accès  pérenne  sur  l’ensemble  des  titres  &lt;intitulé du bouquet&gt; &lt;indiqué en annexe N&gt; et  aux  titres  sur  le  mode  « Titre-à-Titre » &lt;indiqués en annexe NN&gt;  est accordé à &lt;l’ensemble des Abonnés&gt;  &lt;l’abonné&gt;  sur la période &lt;</w:t>
      </w:r>
      <w:proofErr w:type="spellStart"/>
      <w:r w:rsidRPr="00841D58">
        <w:rPr>
          <w:rFonts w:ascii="Times" w:hAnsi="Times"/>
          <w:snapToGrid w:val="0"/>
          <w:sz w:val="22"/>
          <w:szCs w:val="22"/>
        </w:rPr>
        <w:t>date_début</w:t>
      </w:r>
      <w:proofErr w:type="spellEnd"/>
      <w:r w:rsidRPr="00841D58">
        <w:rPr>
          <w:rFonts w:ascii="Times" w:hAnsi="Times"/>
          <w:snapToGrid w:val="0"/>
          <w:sz w:val="22"/>
          <w:szCs w:val="22"/>
        </w:rPr>
        <w:t>&gt; à &lt;</w:t>
      </w:r>
      <w:proofErr w:type="spellStart"/>
      <w:r w:rsidRPr="00841D58">
        <w:rPr>
          <w:rFonts w:ascii="Times" w:hAnsi="Times"/>
          <w:snapToGrid w:val="0"/>
          <w:sz w:val="22"/>
          <w:szCs w:val="22"/>
        </w:rPr>
        <w:t>date_fin</w:t>
      </w:r>
      <w:proofErr w:type="spellEnd"/>
      <w:r w:rsidRPr="00841D58">
        <w:rPr>
          <w:rFonts w:ascii="Times" w:hAnsi="Times"/>
          <w:snapToGrid w:val="0"/>
          <w:sz w:val="22"/>
          <w:szCs w:val="22"/>
        </w:rPr>
        <w:t>&gt;</w:t>
      </w:r>
    </w:p>
    <w:p w14:paraId="6B12A6AB" w14:textId="77777777" w:rsidR="00841D58" w:rsidRPr="00841D58" w:rsidRDefault="00841D58" w:rsidP="00841D58">
      <w:pPr>
        <w:jc w:val="both"/>
        <w:rPr>
          <w:rFonts w:ascii="Times" w:hAnsi="Times"/>
          <w:snapToGrid w:val="0"/>
          <w:sz w:val="22"/>
          <w:szCs w:val="22"/>
        </w:rPr>
      </w:pPr>
    </w:p>
    <w:p w14:paraId="4590F17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§2 - Au terme du </w:t>
      </w:r>
      <w:proofErr w:type="gramStart"/>
      <w:r w:rsidRPr="00841D58">
        <w:rPr>
          <w:rFonts w:ascii="Times" w:hAnsi="Times"/>
          <w:snapToGrid w:val="0"/>
          <w:sz w:val="22"/>
          <w:szCs w:val="22"/>
        </w:rPr>
        <w:t>présent  marché</w:t>
      </w:r>
      <w:proofErr w:type="gramEnd"/>
      <w:r w:rsidRPr="00841D58">
        <w:rPr>
          <w:rFonts w:ascii="Times" w:hAnsi="Times"/>
          <w:snapToGrid w:val="0"/>
          <w:sz w:val="22"/>
          <w:szCs w:val="22"/>
        </w:rPr>
        <w:t>, &lt; tous les  Abonnés pourront&gt; &lt;l’abonné pourra&gt;  accéder  à  l’ensemble des titres contenus mentionnés en §1 à la fois :</w:t>
      </w:r>
    </w:p>
    <w:p w14:paraId="648C727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du  Titulaire,  accessible  à  l’adresse </w:t>
      </w:r>
    </w:p>
    <w:p w14:paraId="7B103251"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http://www....</w:t>
      </w:r>
      <w:proofErr w:type="gramEnd"/>
      <w:r w:rsidRPr="00841D58">
        <w:rPr>
          <w:rFonts w:ascii="Times" w:hAnsi="Times"/>
          <w:snapToGrid w:val="0"/>
          <w:sz w:val="22"/>
          <w:szCs w:val="22"/>
        </w:rPr>
        <w:t>.</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3 -Les conditions d’accès sur la plateforme du Titulaire après la fin du présent marché sont définies dans le Contrat de licence .  (</w:t>
      </w:r>
      <w:proofErr w:type="gramStart"/>
      <w:r w:rsidRPr="00841D58">
        <w:rPr>
          <w:rFonts w:ascii="Times" w:hAnsi="Times"/>
          <w:snapToGrid w:val="0"/>
          <w:sz w:val="22"/>
          <w:szCs w:val="22"/>
        </w:rPr>
        <w:t>voir</w:t>
      </w:r>
      <w:proofErr w:type="gramEnd"/>
      <w:r w:rsidRPr="00841D58">
        <w:rPr>
          <w:rFonts w:ascii="Times" w:hAnsi="Times"/>
          <w:snapToGrid w:val="0"/>
          <w:sz w:val="22"/>
          <w:szCs w:val="22"/>
        </w:rPr>
        <w:t xml:space="preserve"> en fin de ce  document deux exemples d’ usages autorisés)</w:t>
      </w:r>
    </w:p>
    <w:p w14:paraId="0BD2C658" w14:textId="77777777" w:rsidR="00841D58" w:rsidRPr="00841D58" w:rsidRDefault="00841D58" w:rsidP="00841D58">
      <w:pPr>
        <w:jc w:val="both"/>
        <w:rPr>
          <w:rFonts w:ascii="Times" w:hAnsi="Times"/>
          <w:snapToGrid w:val="0"/>
          <w:sz w:val="22"/>
          <w:szCs w:val="22"/>
        </w:rPr>
      </w:pPr>
    </w:p>
    <w:p w14:paraId="300FE66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§4 - Cet accès sur la plateforme développée par les opérateurs désignés par </w:t>
      </w:r>
      <w:proofErr w:type="gramStart"/>
      <w:r w:rsidRPr="00841D58">
        <w:rPr>
          <w:rFonts w:ascii="Times" w:hAnsi="Times"/>
          <w:snapToGrid w:val="0"/>
          <w:sz w:val="22"/>
          <w:szCs w:val="22"/>
        </w:rPr>
        <w:t>le  Ministère</w:t>
      </w:r>
      <w:proofErr w:type="gramEnd"/>
      <w:r w:rsidRPr="00841D58">
        <w:rPr>
          <w:rFonts w:ascii="Times" w:hAnsi="Times"/>
          <w:snapToGrid w:val="0"/>
          <w:sz w:val="22"/>
          <w:szCs w:val="22"/>
        </w:rPr>
        <w:t xml:space="preserve"> en charge de l'Enseignement Supérieur et de  la Recherche  est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5 - Le dépôt de l’ensemble des titres </w:t>
      </w:r>
      <w:proofErr w:type="gramStart"/>
      <w:r w:rsidRPr="00841D58">
        <w:rPr>
          <w:rFonts w:ascii="Times" w:hAnsi="Times"/>
          <w:snapToGrid w:val="0"/>
          <w:sz w:val="22"/>
          <w:szCs w:val="22"/>
        </w:rPr>
        <w:t>mentionnées  en</w:t>
      </w:r>
      <w:proofErr w:type="gramEnd"/>
      <w:r w:rsidRPr="00841D58">
        <w:rPr>
          <w:rFonts w:ascii="Times" w:hAnsi="Times"/>
          <w:snapToGrid w:val="0"/>
          <w:sz w:val="22"/>
          <w:szCs w:val="22"/>
        </w:rPr>
        <w:t xml:space="preserve"> §1   est  fait  à l'INIST-CNRS.  </w:t>
      </w:r>
      <w:proofErr w:type="gramStart"/>
      <w:r w:rsidRPr="00841D58">
        <w:rPr>
          <w:rFonts w:ascii="Times" w:hAnsi="Times"/>
          <w:snapToGrid w:val="0"/>
          <w:sz w:val="22"/>
          <w:szCs w:val="22"/>
        </w:rPr>
        <w:t>A  ce</w:t>
      </w:r>
      <w:proofErr w:type="gramEnd"/>
      <w:r w:rsidRPr="00841D58">
        <w:rPr>
          <w:rFonts w:ascii="Times" w:hAnsi="Times"/>
          <w:snapToGrid w:val="0"/>
          <w:sz w:val="22"/>
          <w:szCs w:val="22"/>
        </w:rPr>
        <w:t xml:space="preserve">  titre,  l’abonné  garantit  le  Titulaire  de bénéficier de l’ensemble des autorisations nécessaires de l'INIST-CNRS aux fins des présentes.</w:t>
      </w:r>
    </w:p>
    <w:p w14:paraId="368B1BAD"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adressera  le  media  (électronique)  contenant  les  contenus  annuels  à l’INIST-CNRS (ci-après, « la Copie électronique »), selon les conditions ci-après :</w:t>
      </w:r>
    </w:p>
    <w:p w14:paraId="11B199F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La  Copie</w:t>
      </w:r>
      <w:proofErr w:type="gramEnd"/>
      <w:r w:rsidRPr="00841D58">
        <w:rPr>
          <w:rFonts w:ascii="Times" w:hAnsi="Times"/>
          <w:snapToGrid w:val="0"/>
          <w:sz w:val="22"/>
          <w:szCs w:val="22"/>
        </w:rPr>
        <w:t xml:space="preserve">  électronique  contenant  les  contenus  mentionnés en § 1  au cours de l'année n-1 respectivement pour les années 20NN, 20n1, 20N2 … ,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6 </w:t>
      </w:r>
      <w:proofErr w:type="gramStart"/>
      <w:r w:rsidRPr="00841D58">
        <w:rPr>
          <w:rFonts w:ascii="Times" w:hAnsi="Times"/>
          <w:snapToGrid w:val="0"/>
          <w:sz w:val="22"/>
          <w:szCs w:val="22"/>
        </w:rPr>
        <w:t>-  Le</w:t>
      </w:r>
      <w:proofErr w:type="gramEnd"/>
      <w:r w:rsidRPr="00841D58">
        <w:rPr>
          <w:rFonts w:ascii="Times" w:hAnsi="Times"/>
          <w:snapToGrid w:val="0"/>
          <w:sz w:val="22"/>
          <w:szCs w:val="22"/>
        </w:rPr>
        <w:t xml:space="preserv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Titulaire  pour les  contenus  du présent contrat.</w:t>
      </w:r>
    </w:p>
    <w:p w14:paraId="0D59476D" w14:textId="77777777" w:rsidR="00841D58" w:rsidRPr="00841D58" w:rsidRDefault="00841D58" w:rsidP="00841D58">
      <w:pPr>
        <w:jc w:val="both"/>
        <w:rPr>
          <w:rFonts w:ascii="Times" w:hAnsi="Times"/>
          <w:snapToGrid w:val="0"/>
          <w:sz w:val="22"/>
          <w:szCs w:val="22"/>
        </w:rPr>
      </w:pPr>
    </w:p>
    <w:p w14:paraId="3515C59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7 - </w:t>
      </w:r>
      <w:proofErr w:type="gramStart"/>
      <w:r w:rsidRPr="00841D58">
        <w:rPr>
          <w:rFonts w:ascii="Times" w:hAnsi="Times"/>
          <w:snapToGrid w:val="0"/>
          <w:sz w:val="22"/>
          <w:szCs w:val="22"/>
        </w:rPr>
        <w:t>Les  formats</w:t>
      </w:r>
      <w:proofErr w:type="gramEnd"/>
      <w:r w:rsidRPr="00841D58">
        <w:rPr>
          <w:rFonts w:ascii="Times" w:hAnsi="Times"/>
          <w:snapToGrid w:val="0"/>
          <w:sz w:val="22"/>
          <w:szCs w:val="22"/>
        </w:rPr>
        <w:t xml:space="preserve"> de livraison ultérieurs  feront  l’objet d’un accord explicite des parties en  tenant  compte  notamment  de  la  qualité  des  données  (</w:t>
      </w:r>
      <w:proofErr w:type="spellStart"/>
      <w:r w:rsidRPr="00841D58">
        <w:rPr>
          <w:rFonts w:ascii="Times" w:hAnsi="Times"/>
          <w:snapToGrid w:val="0"/>
          <w:sz w:val="22"/>
          <w:szCs w:val="22"/>
        </w:rPr>
        <w:t>XMLs</w:t>
      </w:r>
      <w:proofErr w:type="spellEnd"/>
      <w:r w:rsidRPr="00841D58">
        <w:rPr>
          <w:rFonts w:ascii="Times" w:hAnsi="Times"/>
          <w:snapToGrid w:val="0"/>
          <w:sz w:val="22"/>
          <w:szCs w:val="22"/>
        </w:rPr>
        <w:t xml:space="preserve">,   </w:t>
      </w:r>
      <w:proofErr w:type="spellStart"/>
      <w:r w:rsidRPr="00841D58">
        <w:rPr>
          <w:rFonts w:ascii="Times" w:hAnsi="Times"/>
          <w:snapToGrid w:val="0"/>
          <w:sz w:val="22"/>
          <w:szCs w:val="22"/>
        </w:rPr>
        <w:t>DFs</w:t>
      </w:r>
      <w:proofErr w:type="spellEnd"/>
      <w:r w:rsidRPr="00841D58">
        <w:rPr>
          <w:rFonts w:ascii="Times" w:hAnsi="Times"/>
          <w:snapToGrid w:val="0"/>
          <w:sz w:val="22"/>
          <w:szCs w:val="22"/>
        </w:rPr>
        <w:t xml:space="preserve">,  …)  </w:t>
      </w:r>
      <w:proofErr w:type="gramStart"/>
      <w:r w:rsidRPr="00841D58">
        <w:rPr>
          <w:rFonts w:ascii="Times" w:hAnsi="Times"/>
          <w:snapToGrid w:val="0"/>
          <w:sz w:val="22"/>
          <w:szCs w:val="22"/>
        </w:rPr>
        <w:t>et  des</w:t>
      </w:r>
      <w:proofErr w:type="gramEnd"/>
      <w:r w:rsidRPr="00841D58">
        <w:rPr>
          <w:rFonts w:ascii="Times" w:hAnsi="Times"/>
          <w:snapToGrid w:val="0"/>
          <w:sz w:val="22"/>
          <w:szCs w:val="22"/>
        </w:rPr>
        <w:t xml:space="preserve"> métadonnées  articles  associées  (dont  l’encodage)  fournies  et  leur  possibilité  d’exploitation  aux  fins  de  dépôt  et  des  coûts  de  traitement  et  de  développement logiciel.</w:t>
      </w:r>
    </w:p>
    <w:p w14:paraId="1F4AE789" w14:textId="77777777" w:rsidR="00841D58" w:rsidRPr="00841D58" w:rsidRDefault="00841D58" w:rsidP="00841D58">
      <w:pPr>
        <w:jc w:val="both"/>
        <w:rPr>
          <w:rFonts w:ascii="Times" w:hAnsi="Times"/>
          <w:snapToGrid w:val="0"/>
          <w:sz w:val="22"/>
          <w:szCs w:val="22"/>
        </w:rPr>
      </w:pPr>
    </w:p>
    <w:p w14:paraId="17A141E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8 - Chaque livraison devra être </w:t>
      </w:r>
      <w:proofErr w:type="gramStart"/>
      <w:r w:rsidRPr="00841D58">
        <w:rPr>
          <w:rFonts w:ascii="Times" w:hAnsi="Times"/>
          <w:snapToGrid w:val="0"/>
          <w:sz w:val="22"/>
          <w:szCs w:val="22"/>
        </w:rPr>
        <w:t>accompagnée  d’un</w:t>
      </w:r>
      <w:proofErr w:type="gramEnd"/>
      <w:r w:rsidRPr="00841D58">
        <w:rPr>
          <w:rFonts w:ascii="Times" w:hAnsi="Times"/>
          <w:snapToGrid w:val="0"/>
          <w:sz w:val="22"/>
          <w:szCs w:val="22"/>
        </w:rPr>
        <w:t xml:space="preserve"> document précisant de façon la plus précise et la plus exhaustive possible :</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Une description du format des données, c’est à dire l’organisation des données </w:t>
      </w:r>
      <w:proofErr w:type="gramStart"/>
      <w:r w:rsidRPr="00841D58">
        <w:rPr>
          <w:rFonts w:ascii="Times" w:hAnsi="Times"/>
          <w:snapToGrid w:val="0"/>
          <w:sz w:val="22"/>
          <w:szCs w:val="22"/>
        </w:rPr>
        <w:t>sur  le</w:t>
      </w:r>
      <w:proofErr w:type="gramEnd"/>
      <w:r w:rsidRPr="00841D58">
        <w:rPr>
          <w:rFonts w:ascii="Times" w:hAnsi="Times"/>
          <w:snapToGrid w:val="0"/>
          <w:sz w:val="22"/>
          <w:szCs w:val="22"/>
        </w:rPr>
        <w:t xml:space="preserve">  disque  (ex  ISSN/Année/volume/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 xml:space="preserve">/…  </w:t>
      </w:r>
      <w:proofErr w:type="gramStart"/>
      <w:r w:rsidRPr="00841D58">
        <w:rPr>
          <w:rFonts w:ascii="Times" w:hAnsi="Times"/>
          <w:snapToGrid w:val="0"/>
          <w:sz w:val="22"/>
          <w:szCs w:val="22"/>
        </w:rPr>
        <w:t>ou  Année</w:t>
      </w:r>
      <w:proofErr w:type="gramEnd"/>
      <w:r w:rsidRPr="00841D58">
        <w:rPr>
          <w:rFonts w:ascii="Times" w:hAnsi="Times"/>
          <w:snapToGrid w:val="0"/>
          <w:sz w:val="22"/>
          <w:szCs w:val="22"/>
        </w:rPr>
        <w:t>/ISSN/volume/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w:t>
      </w:r>
    </w:p>
    <w:p w14:paraId="6D20CDA6" w14:textId="77777777"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Si  une</w:t>
      </w:r>
      <w:proofErr w:type="gramEnd"/>
      <w:r w:rsidRPr="00841D58">
        <w:rPr>
          <w:rFonts w:ascii="Times" w:hAnsi="Times"/>
          <w:snapToGrid w:val="0"/>
          <w:sz w:val="22"/>
          <w:szCs w:val="22"/>
        </w:rPr>
        <w:t xml:space="preserve">  nomenclature  spécifique  est  utilisée,  une  description  de  celle-ci  sera  demandée (ex VOL=</w:t>
      </w:r>
      <w:proofErr w:type="spellStart"/>
      <w:r w:rsidRPr="00841D58">
        <w:rPr>
          <w:rFonts w:ascii="Times" w:hAnsi="Times"/>
          <w:snapToGrid w:val="0"/>
          <w:sz w:val="22"/>
          <w:szCs w:val="22"/>
        </w:rPr>
        <w:t>Year.VolumeID</w:t>
      </w:r>
      <w:proofErr w:type="spellEnd"/>
      <w:r w:rsidRPr="00841D58">
        <w:rPr>
          <w:rFonts w:ascii="Times" w:hAnsi="Times"/>
          <w:snapToGrid w:val="0"/>
          <w:sz w:val="22"/>
          <w:szCs w:val="22"/>
        </w:rPr>
        <w:t>).</w:t>
      </w:r>
    </w:p>
    <w:p w14:paraId="7F334B5B" w14:textId="032B86E7"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xml:space="preserve">, les titres, identifiants normalisés (ISSN, </w:t>
      </w:r>
      <w:proofErr w:type="gramStart"/>
      <w:r>
        <w:rPr>
          <w:rFonts w:ascii="Times" w:hAnsi="Times"/>
          <w:snapToGrid w:val="0"/>
          <w:sz w:val="22"/>
          <w:szCs w:val="22"/>
        </w:rPr>
        <w:t>ISBN,…</w:t>
      </w:r>
      <w:proofErr w:type="gramEnd"/>
      <w:r>
        <w:rPr>
          <w:rFonts w:ascii="Times" w:hAnsi="Times"/>
          <w:snapToGrid w:val="0"/>
          <w:sz w:val="22"/>
          <w:szCs w:val="22"/>
        </w:rPr>
        <w:t>)</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l’Inist.</w:t>
      </w:r>
    </w:p>
    <w:p w14:paraId="1E7E504B" w14:textId="77777777" w:rsidR="00841D58" w:rsidRPr="00841D58" w:rsidRDefault="00841D58" w:rsidP="00841D58">
      <w:pPr>
        <w:jc w:val="both"/>
        <w:rPr>
          <w:rFonts w:ascii="Times" w:hAnsi="Times"/>
          <w:snapToGrid w:val="0"/>
          <w:sz w:val="22"/>
          <w:szCs w:val="22"/>
        </w:rPr>
      </w:pPr>
    </w:p>
    <w:p w14:paraId="6EDB11CE"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xml:space="preserve">§ 9 - </w:t>
      </w:r>
      <w:proofErr w:type="gramStart"/>
      <w:r w:rsidRPr="00841D58">
        <w:rPr>
          <w:rFonts w:ascii="Times" w:hAnsi="Times"/>
          <w:snapToGrid w:val="0"/>
          <w:sz w:val="22"/>
          <w:szCs w:val="22"/>
        </w:rPr>
        <w:t>Le  correspondant</w:t>
      </w:r>
      <w:proofErr w:type="gramEnd"/>
      <w:r w:rsidRPr="00841D58">
        <w:rPr>
          <w:rFonts w:ascii="Times" w:hAnsi="Times"/>
          <w:snapToGrid w:val="0"/>
          <w:sz w:val="22"/>
          <w:szCs w:val="22"/>
        </w:rPr>
        <w:t xml:space="preserve"> technique chez le Titulaire est &lt;Prénom Nom_ coordonnées&gt; ou toute personne amenée à le remplacer.</w:t>
      </w:r>
    </w:p>
    <w:p w14:paraId="6546ED6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w:t>
      </w:r>
      <w:proofErr w:type="gramStart"/>
      <w:r w:rsidRPr="00841D58">
        <w:rPr>
          <w:rFonts w:ascii="Times" w:hAnsi="Times"/>
          <w:snapToGrid w:val="0"/>
          <w:sz w:val="22"/>
          <w:szCs w:val="22"/>
        </w:rPr>
        <w:t>CNRS  fait</w:t>
      </w:r>
      <w:proofErr w:type="gramEnd"/>
      <w:r w:rsidRPr="00841D58">
        <w:rPr>
          <w:rFonts w:ascii="Times" w:hAnsi="Times"/>
          <w:snapToGrid w:val="0"/>
          <w:sz w:val="22"/>
          <w:szCs w:val="22"/>
        </w:rPr>
        <w:t xml:space="preserve">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6D0E0232" w14:textId="77777777" w:rsidR="00841D58" w:rsidRPr="00841D58" w:rsidRDefault="00841D58" w:rsidP="00841D58">
      <w:pPr>
        <w:jc w:val="both"/>
        <w:rPr>
          <w:rFonts w:ascii="Times" w:hAnsi="Times"/>
          <w:snapToGrid w:val="0"/>
          <w:sz w:val="22"/>
          <w:szCs w:val="22"/>
        </w:rPr>
      </w:pPr>
    </w:p>
    <w:p w14:paraId="4D773572"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11 - Les livraisons auront lieu dans les quatre premiers mois des années 20N1, 20N2, 20N3,</w:t>
      </w:r>
    </w:p>
    <w:p w14:paraId="714A24DC" w14:textId="77777777" w:rsidR="00841D58" w:rsidRPr="00841D58" w:rsidRDefault="00841D58" w:rsidP="00841D58">
      <w:pPr>
        <w:jc w:val="both"/>
        <w:rPr>
          <w:rFonts w:ascii="Times" w:hAnsi="Times"/>
          <w:snapToGrid w:val="0"/>
          <w:sz w:val="22"/>
          <w:szCs w:val="22"/>
        </w:rPr>
      </w:pPr>
    </w:p>
    <w:p w14:paraId="447512F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w:t>
      </w:r>
      <w:proofErr w:type="gramStart"/>
      <w:r w:rsidRPr="00841D58">
        <w:rPr>
          <w:rFonts w:ascii="Times" w:hAnsi="Times"/>
          <w:snapToGrid w:val="0"/>
          <w:sz w:val="22"/>
          <w:szCs w:val="22"/>
        </w:rPr>
        <w:t>se  feront</w:t>
      </w:r>
      <w:proofErr w:type="gramEnd"/>
      <w:r w:rsidRPr="00841D58">
        <w:rPr>
          <w:rFonts w:ascii="Times" w:hAnsi="Times"/>
          <w:snapToGrid w:val="0"/>
          <w:sz w:val="22"/>
          <w:szCs w:val="22"/>
        </w:rPr>
        <w:t xml:space="preserve">  via  les  réseaux  sécurisés  en  fonction  des  droits  des  Abonnés  et  sous réserve  des  restrictions  d’usage  et  autres  dispositions  du  présent  marché  et  du  Contrat  de  licence.  L’INIST-</w:t>
      </w:r>
      <w:proofErr w:type="gramStart"/>
      <w:r w:rsidRPr="00841D58">
        <w:rPr>
          <w:rFonts w:ascii="Times" w:hAnsi="Times"/>
          <w:snapToGrid w:val="0"/>
          <w:sz w:val="22"/>
          <w:szCs w:val="22"/>
        </w:rPr>
        <w:t>CNRS  mettra</w:t>
      </w:r>
      <w:proofErr w:type="gramEnd"/>
      <w:r w:rsidRPr="00841D58">
        <w:rPr>
          <w:rFonts w:ascii="Times" w:hAnsi="Times"/>
          <w:snapToGrid w:val="0"/>
          <w:sz w:val="22"/>
          <w:szCs w:val="22"/>
        </w:rPr>
        <w:t xml:space="preserve">  en  œuvre  les  outils  nécessaires  pour assurer  le  contrôle  d’accès  aux  contenus.  </w:t>
      </w:r>
    </w:p>
    <w:p w14:paraId="5A648D87" w14:textId="77777777" w:rsidR="00841D58" w:rsidRPr="00841D58" w:rsidRDefault="00841D58" w:rsidP="00841D58">
      <w:pPr>
        <w:jc w:val="both"/>
        <w:rPr>
          <w:rFonts w:ascii="Times" w:hAnsi="Times"/>
          <w:snapToGrid w:val="0"/>
          <w:sz w:val="22"/>
          <w:szCs w:val="22"/>
        </w:rPr>
      </w:pPr>
    </w:p>
    <w:p w14:paraId="5E96560C" w14:textId="28ACDB0E"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13 - </w:t>
      </w: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communiquera  à  l’INIST</w:t>
      </w:r>
      <w:r w:rsidR="002A02EE">
        <w:rPr>
          <w:rFonts w:ascii="Times" w:hAnsi="Times"/>
          <w:snapToGrid w:val="0"/>
          <w:sz w:val="22"/>
          <w:szCs w:val="22"/>
        </w:rPr>
        <w:t>-</w:t>
      </w:r>
      <w:r w:rsidRPr="00841D58">
        <w:rPr>
          <w:rFonts w:ascii="Times" w:hAnsi="Times"/>
          <w:snapToGrid w:val="0"/>
          <w:sz w:val="22"/>
          <w:szCs w:val="22"/>
        </w:rPr>
        <w:t xml:space="preserve">CNRS les droits de chaque </w:t>
      </w:r>
      <w:proofErr w:type="spellStart"/>
      <w:r w:rsidRPr="00841D58">
        <w:rPr>
          <w:rFonts w:ascii="Times" w:hAnsi="Times"/>
          <w:snapToGrid w:val="0"/>
          <w:sz w:val="22"/>
          <w:szCs w:val="22"/>
        </w:rPr>
        <w:t>AbonnéLe</w:t>
      </w:r>
      <w:proofErr w:type="spellEnd"/>
      <w:r w:rsidRPr="00841D58">
        <w:rPr>
          <w:rFonts w:ascii="Times" w:hAnsi="Times"/>
          <w:snapToGrid w:val="0"/>
          <w:sz w:val="22"/>
          <w:szCs w:val="22"/>
        </w:rPr>
        <w:t xml:space="preserve"> Titulaire se réserve le droit de vérifier auprès du site de dépôt en fonction des droits de chaque  Abonné, par tous les moyens légaux, la régularité des accès  par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14 - </w:t>
      </w:r>
      <w:proofErr w:type="gramStart"/>
      <w:r w:rsidRPr="00841D58">
        <w:rPr>
          <w:rFonts w:ascii="Times" w:hAnsi="Times"/>
          <w:snapToGrid w:val="0"/>
          <w:sz w:val="22"/>
          <w:szCs w:val="22"/>
        </w:rPr>
        <w:t>Les  Copies</w:t>
      </w:r>
      <w:proofErr w:type="gramEnd"/>
      <w:r w:rsidRPr="00841D58">
        <w:rPr>
          <w:rFonts w:ascii="Times" w:hAnsi="Times"/>
          <w:snapToGrid w:val="0"/>
          <w:sz w:val="22"/>
          <w:szCs w:val="22"/>
        </w:rPr>
        <w:t xml:space="preserve">  électroniques  des  contenus  mentionnés  en §1  pourront  être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w:t>
      </w:r>
      <w:proofErr w:type="spellStart"/>
      <w:r w:rsidRPr="00841D58">
        <w:rPr>
          <w:rFonts w:ascii="Times" w:hAnsi="Times"/>
          <w:snapToGrid w:val="0"/>
          <w:sz w:val="22"/>
          <w:szCs w:val="22"/>
        </w:rPr>
        <w:t>data-mining</w:t>
      </w:r>
      <w:proofErr w:type="spellEnd"/>
      <w:r w:rsidRPr="00841D58">
        <w:rPr>
          <w:rFonts w:ascii="Times" w:hAnsi="Times"/>
          <w:snapToGrid w:val="0"/>
          <w:sz w:val="22"/>
          <w:szCs w:val="22"/>
        </w:rPr>
        <w:t>)</w:t>
      </w:r>
      <w:r w:rsidR="002A02EE">
        <w:rPr>
          <w:rStyle w:val="Appelnotedebasdep"/>
          <w:rFonts w:ascii="Times" w:hAnsi="Times"/>
          <w:snapToGrid w:val="0"/>
          <w:sz w:val="22"/>
          <w:szCs w:val="22"/>
        </w:rPr>
        <w:footnoteReference w:id="8"/>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9"/>
      <w:footerReference w:type="even"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33D8" w14:textId="77777777" w:rsidR="002E6586" w:rsidRDefault="002E6586">
      <w:r>
        <w:separator/>
      </w:r>
    </w:p>
  </w:endnote>
  <w:endnote w:type="continuationSeparator" w:id="0">
    <w:p w14:paraId="45BB0A48" w14:textId="77777777" w:rsidR="002E6586" w:rsidRDefault="002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3786" w14:textId="77777777" w:rsidR="002E6586" w:rsidRDefault="002E6586">
      <w:r>
        <w:separator/>
      </w:r>
    </w:p>
  </w:footnote>
  <w:footnote w:type="continuationSeparator" w:id="0">
    <w:p w14:paraId="07C9206D" w14:textId="77777777" w:rsidR="002E6586" w:rsidRDefault="002E6586">
      <w:r>
        <w:continuationSeparator/>
      </w:r>
    </w:p>
  </w:footnote>
  <w:footnote w:id="1">
    <w:p w14:paraId="6D9546AA" w14:textId="029D08B4" w:rsidR="00344047" w:rsidRDefault="00344047" w:rsidP="0061401F">
      <w:r>
        <w:rPr>
          <w:rStyle w:val="Appelnotedebasdep"/>
        </w:rPr>
        <w:footnoteRef/>
      </w:r>
      <w:r>
        <w:t xml:space="preserve"> </w:t>
      </w:r>
      <w:r w:rsidRPr="00327C5B">
        <w:t xml:space="preserve">Description à </w:t>
      </w:r>
      <w:r w:rsidR="0013098C" w:rsidRPr="0013098C">
        <w:t xml:space="preserve">https://www.internet2.edu/products-services/trust-identity/shibboleth/, </w:t>
      </w:r>
      <w:hyperlink r:id="rId1" w:history="1">
        <w:r w:rsidR="0013098C" w:rsidRPr="0018128B">
          <w:rPr>
            <w:rStyle w:val="Lienhypertexte"/>
          </w:rPr>
          <w:t>https://services.renater.fr/federation/introduction/la-federation-education-recherche/fer-idps</w:t>
        </w:r>
      </w:hyperlink>
      <w:r w:rsidR="0013098C">
        <w:t xml:space="preserve"> (</w:t>
      </w:r>
      <w:r w:rsidR="0013098C" w:rsidRPr="0013098C">
        <w:t>lien</w:t>
      </w:r>
      <w:r w:rsidR="0013098C">
        <w:t>s</w:t>
      </w:r>
      <w:r w:rsidR="0013098C" w:rsidRPr="0013098C">
        <w:t xml:space="preserve"> visité</w:t>
      </w:r>
      <w:r w:rsidR="0013098C">
        <w:t>s</w:t>
      </w:r>
      <w:r w:rsidR="0013098C" w:rsidRPr="0013098C">
        <w:t xml:space="preserve"> le 0</w:t>
      </w:r>
      <w:r w:rsidR="0013098C">
        <w:t>8</w:t>
      </w:r>
      <w:r w:rsidR="0013098C" w:rsidRPr="0013098C">
        <w:t>/09/2023)</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7F485649" w14:textId="3D8984C8" w:rsidR="0013098C" w:rsidRDefault="0013098C">
      <w:pPr>
        <w:pStyle w:val="Notedebasdepage"/>
      </w:pPr>
      <w:r>
        <w:rPr>
          <w:rStyle w:val="Appelnotedebasdep"/>
        </w:rPr>
        <w:footnoteRef/>
      </w:r>
      <w:r>
        <w:t xml:space="preserve"> </w:t>
      </w:r>
      <w:hyperlink r:id="rId2" w:history="1">
        <w:r w:rsidRPr="00AD5AEF">
          <w:rPr>
            <w:rStyle w:val="Lienhypertexte"/>
            <w:rFonts w:ascii="Times" w:hAnsi="Times"/>
            <w:snapToGrid w:val="0"/>
            <w:sz w:val="22"/>
            <w:szCs w:val="22"/>
          </w:rPr>
          <w:t>https://www.legifrance.gouv.fr/jorf/id/JORFTEXT</w:t>
        </w:r>
        <w:r w:rsidRPr="00AD5AEF">
          <w:rPr>
            <w:rStyle w:val="Lienhypertexte"/>
            <w:rFonts w:ascii="Times" w:hAnsi="Times"/>
            <w:snapToGrid w:val="0"/>
            <w:sz w:val="22"/>
            <w:szCs w:val="22"/>
          </w:rPr>
          <w:t>0</w:t>
        </w:r>
        <w:r w:rsidRPr="00AD5AEF">
          <w:rPr>
            <w:rStyle w:val="Lienhypertexte"/>
            <w:rFonts w:ascii="Times" w:hAnsi="Times"/>
            <w:snapToGrid w:val="0"/>
            <w:sz w:val="22"/>
            <w:szCs w:val="22"/>
          </w:rPr>
          <w:t>00044362034</w:t>
        </w:r>
      </w:hyperlink>
    </w:p>
  </w:footnote>
  <w:footnote w:id="4">
    <w:p w14:paraId="454126F0" w14:textId="77777777" w:rsidR="00344047" w:rsidRDefault="00344047">
      <w:pPr>
        <w:pStyle w:val="Notedebasdepage"/>
      </w:pPr>
      <w:r>
        <w:rPr>
          <w:rStyle w:val="Appelnotedebasdep"/>
        </w:rPr>
        <w:footnoteRef/>
      </w:r>
      <w:r>
        <w:t xml:space="preserve"> http://www.sherpa.ac.uk/romeo.php</w:t>
      </w:r>
    </w:p>
  </w:footnote>
  <w:footnote w:id="5">
    <w:p w14:paraId="5120A101" w14:textId="68B76231" w:rsidR="009D310E" w:rsidRDefault="009D310E">
      <w:pPr>
        <w:pStyle w:val="Notedebasdepage"/>
      </w:pPr>
      <w:r>
        <w:rPr>
          <w:rStyle w:val="Appelnotedebasdep"/>
        </w:rPr>
        <w:footnoteRef/>
      </w:r>
      <w:r>
        <w:t xml:space="preserve"> </w:t>
      </w:r>
      <w:r w:rsidRPr="009D310E">
        <w:t>https://eur-lex.europa.eu/legal-content/FR/TXT/HTML/?uri=CELEX:32016R0679R(02)&amp;qid=1528814703534&amp;from=en</w:t>
      </w:r>
    </w:p>
  </w:footnote>
  <w:footnote w:id="6">
    <w:p w14:paraId="3BA6DA63" w14:textId="7616ECE0" w:rsidR="00344047" w:rsidRPr="00245D92" w:rsidRDefault="00344047">
      <w:pPr>
        <w:pStyle w:val="Notedebasdepage"/>
      </w:pPr>
      <w:r>
        <w:rPr>
          <w:rStyle w:val="Appelnotedebasdep"/>
        </w:rPr>
        <w:footnoteRef/>
      </w:r>
      <w:r>
        <w:t xml:space="preserve"> </w:t>
      </w:r>
      <w:r w:rsidR="00F84107" w:rsidRPr="00F84107">
        <w:t>https://groups.niso.org/higherlogic/ws/public/download/21330/Transfer_NISO_RP-24-2019.pdf</w:t>
      </w:r>
    </w:p>
  </w:footnote>
  <w:footnote w:id="7">
    <w:p w14:paraId="0EDE2644" w14:textId="52E45644" w:rsidR="00344047" w:rsidRPr="001A6D85" w:rsidRDefault="00344047" w:rsidP="00F115CE">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sidR="00F115CE">
        <w:t xml:space="preserve"> </w:t>
      </w:r>
      <w:hyperlink r:id="rId3" w:tgtFrame="_blank" w:history="1">
        <w:r w:rsidR="00F115CE">
          <w:rPr>
            <w:rStyle w:val="Lienhypertexte"/>
          </w:rPr>
          <w:t>https://groups.niso.org/apps/group_public/download.php/16900/RP-9-2014_KBART.pdf</w:t>
        </w:r>
      </w:hyperlink>
    </w:p>
  </w:footnote>
  <w:footnote w:id="8">
    <w:p w14:paraId="60C659DD" w14:textId="4DCF55CF" w:rsidR="002A02EE" w:rsidRDefault="002A02EE">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1A05" w14:textId="684BFDCB" w:rsidR="00344047" w:rsidRDefault="00F058A0">
    <w:pPr>
      <w:pStyle w:val="En-tte"/>
      <w:rPr>
        <w:rFonts w:ascii="Arial" w:hAnsi="Arial" w:cs="Arial"/>
        <w:sz w:val="18"/>
        <w:szCs w:val="18"/>
      </w:rPr>
    </w:pPr>
    <w:r>
      <w:rPr>
        <w:rFonts w:ascii="Arial" w:hAnsi="Arial" w:cs="Arial"/>
        <w:sz w:val="18"/>
        <w:szCs w:val="18"/>
      </w:rPr>
      <w:t>Couperin – Licence-type –202</w:t>
    </w:r>
    <w:r w:rsidR="00F84107">
      <w:rPr>
        <w:rFonts w:ascii="Arial" w:hAnsi="Arial" w:cs="Arial"/>
        <w:sz w:val="18"/>
        <w:szCs w:val="18"/>
      </w:rPr>
      <w:t>3</w:t>
    </w:r>
    <w:r w:rsidR="00CE06E7">
      <w:rPr>
        <w:rFonts w:ascii="Arial" w:hAnsi="Arial" w:cs="Arial"/>
        <w:sz w:val="18"/>
        <w:szCs w:val="18"/>
      </w:rPr>
      <w:t xml:space="preserve"> </w:t>
    </w:r>
    <w:r w:rsidR="00AF58CB">
      <w:rPr>
        <w:rFonts w:ascii="Arial" w:hAnsi="Arial" w:cs="Arial"/>
        <w:sz w:val="18"/>
        <w:szCs w:val="18"/>
      </w:rPr>
      <w:t xml:space="preserve">version diffusée : dernière mise à jour : </w:t>
    </w:r>
    <w:r w:rsidR="00F84107">
      <w:rPr>
        <w:rFonts w:ascii="Arial" w:hAnsi="Arial" w:cs="Arial"/>
        <w:sz w:val="18"/>
        <w:szCs w:val="18"/>
      </w:rPr>
      <w:t>17 avril 2023</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0546574">
    <w:abstractNumId w:val="23"/>
  </w:num>
  <w:num w:numId="2" w16cid:durableId="120923547">
    <w:abstractNumId w:val="12"/>
  </w:num>
  <w:num w:numId="3" w16cid:durableId="1164278810">
    <w:abstractNumId w:val="14"/>
  </w:num>
  <w:num w:numId="4" w16cid:durableId="602613501">
    <w:abstractNumId w:val="9"/>
  </w:num>
  <w:num w:numId="5" w16cid:durableId="1166625375">
    <w:abstractNumId w:val="8"/>
  </w:num>
  <w:num w:numId="6" w16cid:durableId="1411268534">
    <w:abstractNumId w:val="20"/>
  </w:num>
  <w:num w:numId="7" w16cid:durableId="415711249">
    <w:abstractNumId w:val="17"/>
  </w:num>
  <w:num w:numId="8" w16cid:durableId="672298382">
    <w:abstractNumId w:val="13"/>
  </w:num>
  <w:num w:numId="9" w16cid:durableId="215286172">
    <w:abstractNumId w:val="0"/>
  </w:num>
  <w:num w:numId="10" w16cid:durableId="1214807072">
    <w:abstractNumId w:val="15"/>
  </w:num>
  <w:num w:numId="11" w16cid:durableId="934554313">
    <w:abstractNumId w:val="18"/>
  </w:num>
  <w:num w:numId="12" w16cid:durableId="1372269367">
    <w:abstractNumId w:val="19"/>
  </w:num>
  <w:num w:numId="13" w16cid:durableId="1326393141">
    <w:abstractNumId w:val="22"/>
  </w:num>
  <w:num w:numId="14" w16cid:durableId="1001734327">
    <w:abstractNumId w:val="14"/>
    <w:lvlOverride w:ilvl="0">
      <w:startOverride w:val="6"/>
    </w:lvlOverride>
    <w:lvlOverride w:ilvl="1">
      <w:startOverride w:val="4"/>
    </w:lvlOverride>
  </w:num>
  <w:num w:numId="15" w16cid:durableId="913779686">
    <w:abstractNumId w:val="1"/>
  </w:num>
  <w:num w:numId="16" w16cid:durableId="257062899">
    <w:abstractNumId w:val="7"/>
  </w:num>
  <w:num w:numId="17" w16cid:durableId="821579411">
    <w:abstractNumId w:val="6"/>
  </w:num>
  <w:num w:numId="18" w16cid:durableId="676738987">
    <w:abstractNumId w:val="24"/>
  </w:num>
  <w:num w:numId="19" w16cid:durableId="472871356">
    <w:abstractNumId w:val="10"/>
  </w:num>
  <w:num w:numId="20" w16cid:durableId="538859127">
    <w:abstractNumId w:val="2"/>
  </w:num>
  <w:num w:numId="21" w16cid:durableId="1583441877">
    <w:abstractNumId w:val="5"/>
  </w:num>
  <w:num w:numId="22" w16cid:durableId="1466391018">
    <w:abstractNumId w:val="21"/>
  </w:num>
  <w:num w:numId="23" w16cid:durableId="834028321">
    <w:abstractNumId w:val="4"/>
  </w:num>
  <w:num w:numId="24" w16cid:durableId="563413275">
    <w:abstractNumId w:val="26"/>
  </w:num>
  <w:num w:numId="25" w16cid:durableId="2004964311">
    <w:abstractNumId w:val="16"/>
  </w:num>
  <w:num w:numId="26" w16cid:durableId="488327195">
    <w:abstractNumId w:val="11"/>
  </w:num>
  <w:num w:numId="27" w16cid:durableId="1051685310">
    <w:abstractNumId w:val="3"/>
  </w:num>
  <w:num w:numId="28" w16cid:durableId="436144741">
    <w:abstractNumId w:val="25"/>
  </w:num>
  <w:num w:numId="29" w16cid:durableId="10588947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3098C"/>
    <w:rsid w:val="001356CA"/>
    <w:rsid w:val="00137D6E"/>
    <w:rsid w:val="00166C87"/>
    <w:rsid w:val="00182764"/>
    <w:rsid w:val="001A6D85"/>
    <w:rsid w:val="001C256F"/>
    <w:rsid w:val="001C45F5"/>
    <w:rsid w:val="001C7BBB"/>
    <w:rsid w:val="001E371B"/>
    <w:rsid w:val="001F6208"/>
    <w:rsid w:val="00217F6D"/>
    <w:rsid w:val="00233C2B"/>
    <w:rsid w:val="00245D92"/>
    <w:rsid w:val="00252CE5"/>
    <w:rsid w:val="00260C28"/>
    <w:rsid w:val="00270406"/>
    <w:rsid w:val="002A02EE"/>
    <w:rsid w:val="002B6536"/>
    <w:rsid w:val="002D7EC2"/>
    <w:rsid w:val="002E39E6"/>
    <w:rsid w:val="002E6586"/>
    <w:rsid w:val="002F54C9"/>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D480C"/>
    <w:rsid w:val="003E35CD"/>
    <w:rsid w:val="004005B2"/>
    <w:rsid w:val="004060B4"/>
    <w:rsid w:val="00407FD8"/>
    <w:rsid w:val="00415699"/>
    <w:rsid w:val="00415782"/>
    <w:rsid w:val="004209F5"/>
    <w:rsid w:val="00427FE0"/>
    <w:rsid w:val="004368FD"/>
    <w:rsid w:val="00487C81"/>
    <w:rsid w:val="004A0BFB"/>
    <w:rsid w:val="004A6CE1"/>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AFE"/>
    <w:rsid w:val="00660E29"/>
    <w:rsid w:val="00680B63"/>
    <w:rsid w:val="00693D69"/>
    <w:rsid w:val="006A05CE"/>
    <w:rsid w:val="006A7EDC"/>
    <w:rsid w:val="006E779F"/>
    <w:rsid w:val="006F3349"/>
    <w:rsid w:val="0070266F"/>
    <w:rsid w:val="0071121A"/>
    <w:rsid w:val="00734C74"/>
    <w:rsid w:val="00737CC3"/>
    <w:rsid w:val="00744231"/>
    <w:rsid w:val="007454C2"/>
    <w:rsid w:val="00751D45"/>
    <w:rsid w:val="00775009"/>
    <w:rsid w:val="007D5AA5"/>
    <w:rsid w:val="007E20B6"/>
    <w:rsid w:val="007F5249"/>
    <w:rsid w:val="00841D58"/>
    <w:rsid w:val="008472CF"/>
    <w:rsid w:val="008478EF"/>
    <w:rsid w:val="00857B3B"/>
    <w:rsid w:val="008A01BB"/>
    <w:rsid w:val="008E743F"/>
    <w:rsid w:val="008F480F"/>
    <w:rsid w:val="008F6F6B"/>
    <w:rsid w:val="009071C0"/>
    <w:rsid w:val="00924981"/>
    <w:rsid w:val="00936515"/>
    <w:rsid w:val="0094392D"/>
    <w:rsid w:val="0098516E"/>
    <w:rsid w:val="00990AC4"/>
    <w:rsid w:val="009B1030"/>
    <w:rsid w:val="009D310E"/>
    <w:rsid w:val="00A00735"/>
    <w:rsid w:val="00A1117E"/>
    <w:rsid w:val="00A24BAC"/>
    <w:rsid w:val="00A370AD"/>
    <w:rsid w:val="00A3789D"/>
    <w:rsid w:val="00A77BBF"/>
    <w:rsid w:val="00A91C23"/>
    <w:rsid w:val="00A92DE9"/>
    <w:rsid w:val="00AB1BAE"/>
    <w:rsid w:val="00AD16F1"/>
    <w:rsid w:val="00AF58CB"/>
    <w:rsid w:val="00B10596"/>
    <w:rsid w:val="00B3573B"/>
    <w:rsid w:val="00B5218C"/>
    <w:rsid w:val="00B6149B"/>
    <w:rsid w:val="00B809E7"/>
    <w:rsid w:val="00B8472C"/>
    <w:rsid w:val="00B9740E"/>
    <w:rsid w:val="00BB54AB"/>
    <w:rsid w:val="00BF1902"/>
    <w:rsid w:val="00BF2603"/>
    <w:rsid w:val="00BF689F"/>
    <w:rsid w:val="00C203BE"/>
    <w:rsid w:val="00C25C22"/>
    <w:rsid w:val="00C26A2C"/>
    <w:rsid w:val="00C4394F"/>
    <w:rsid w:val="00C73649"/>
    <w:rsid w:val="00C75D04"/>
    <w:rsid w:val="00C9162B"/>
    <w:rsid w:val="00C95717"/>
    <w:rsid w:val="00C97824"/>
    <w:rsid w:val="00C97A32"/>
    <w:rsid w:val="00CA1BD2"/>
    <w:rsid w:val="00CA2B94"/>
    <w:rsid w:val="00CC3A28"/>
    <w:rsid w:val="00CE06E7"/>
    <w:rsid w:val="00CE68EB"/>
    <w:rsid w:val="00D17DCF"/>
    <w:rsid w:val="00D37ED3"/>
    <w:rsid w:val="00D57384"/>
    <w:rsid w:val="00D574E7"/>
    <w:rsid w:val="00D874B8"/>
    <w:rsid w:val="00DA055B"/>
    <w:rsid w:val="00DA2182"/>
    <w:rsid w:val="00DA53E6"/>
    <w:rsid w:val="00DB3B6D"/>
    <w:rsid w:val="00DC4F36"/>
    <w:rsid w:val="00DD31F1"/>
    <w:rsid w:val="00DE7B78"/>
    <w:rsid w:val="00DF3493"/>
    <w:rsid w:val="00E07461"/>
    <w:rsid w:val="00E40608"/>
    <w:rsid w:val="00E65F47"/>
    <w:rsid w:val="00E80B63"/>
    <w:rsid w:val="00E83DE6"/>
    <w:rsid w:val="00E874D7"/>
    <w:rsid w:val="00E970D1"/>
    <w:rsid w:val="00EC0442"/>
    <w:rsid w:val="00ED1D12"/>
    <w:rsid w:val="00EE12BF"/>
    <w:rsid w:val="00F022DA"/>
    <w:rsid w:val="00F058A0"/>
    <w:rsid w:val="00F115CE"/>
    <w:rsid w:val="00F31F19"/>
    <w:rsid w:val="00F42F12"/>
    <w:rsid w:val="00F4621B"/>
    <w:rsid w:val="00F5251A"/>
    <w:rsid w:val="00F73A3E"/>
    <w:rsid w:val="00F772E4"/>
    <w:rsid w:val="00F84107"/>
    <w:rsid w:val="00FA3A66"/>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styleId="Mentionnonrsolue">
    <w:name w:val="Unresolved Mention"/>
    <w:basedOn w:val="Policepardfaut"/>
    <w:uiPriority w:val="99"/>
    <w:semiHidden/>
    <w:unhideWhenUsed/>
    <w:rsid w:val="00F8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vrirlascience.fr/la-fouille-de-textes-et-de-donnees-a-des-fins-de-recherche-une-pratique-confirmee-et-desormais-operationnelle-en-droit-franca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roups.niso.org/apps/group_public/download.php/16900/RP-9-2014_KBART.pdf" TargetMode="External"/><Relationship Id="rId2" Type="http://schemas.openxmlformats.org/officeDocument/2006/relationships/hyperlink" Target="https://www.legifrance.gouv.fr/jorf/id/JORFTEXT000044362034" TargetMode="External"/><Relationship Id="rId1" Type="http://schemas.openxmlformats.org/officeDocument/2006/relationships/hyperlink" Target="https://services.renater.fr/federation/introduction/la-federation-education-recherche/fer-id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F57-4960-434F-8FDC-6084C16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7766</Words>
  <Characters>43531</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51195</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Jérôme Kalfon</cp:lastModifiedBy>
  <cp:revision>2</cp:revision>
  <cp:lastPrinted>2008-04-10T09:20:00Z</cp:lastPrinted>
  <dcterms:created xsi:type="dcterms:W3CDTF">2023-09-08T13:20:00Z</dcterms:created>
  <dcterms:modified xsi:type="dcterms:W3CDTF">2023-09-08T13:20:00Z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1379377321</vt:i4>
  </property>
  <property fmtid="{D5CDD505-2E9C-101B-9397-08002B2CF9AE}" pid="3" name="_EmailSubject">
    <vt:lpwstr>Groupe de travail sur la licence-type Couperin - VO du contrat "revues electroniques"</vt:lpwstr>
  </property>
  <property fmtid="{D5CDD505-2E9C-101B-9397-08002B2CF9AE}" pid="4" name="_AuthorEmail">
    <vt:lpwstr>Nathalie.MARCEROU@adm.univ-lyon1.fr</vt:lpwstr>
  </property>
  <property fmtid="{D5CDD505-2E9C-101B-9397-08002B2CF9AE}" pid="5" name="_AuthorEmailDisplayName">
    <vt:lpwstr>MARCEROU-RAMEL NATHALIE</vt:lpwstr>
  </property>
  <property fmtid="{D5CDD505-2E9C-101B-9397-08002B2CF9AE}" pid="6" name="_ReviewingToolsShownOnce">
    <vt:lpwstr/>
  </property>
</Properties>
</file>